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28" w:rsidRDefault="00734728" w:rsidP="00734728">
      <w:pPr>
        <w:jc w:val="center"/>
        <w:rPr>
          <w:b/>
          <w:sz w:val="32"/>
          <w:szCs w:val="32"/>
        </w:rPr>
      </w:pPr>
      <w:r>
        <w:rPr>
          <w:noProof/>
          <w:lang w:val="en-ZA" w:eastAsia="en-ZA"/>
        </w:rPr>
        <w:drawing>
          <wp:inline distT="0" distB="0" distL="0" distR="0">
            <wp:extent cx="1504950" cy="942975"/>
            <wp:effectExtent l="19050" t="0" r="0"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9"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734728" w:rsidRDefault="00734728" w:rsidP="00734728">
      <w:r>
        <w:t xml:space="preserve">                                          </w:t>
      </w:r>
      <w:r>
        <w:rPr>
          <w:noProof/>
        </w:rPr>
        <w:t xml:space="preserve">             </w:t>
      </w:r>
    </w:p>
    <w:p w:rsidR="00734728" w:rsidRDefault="00734728" w:rsidP="00734728"/>
    <w:p w:rsidR="00734728" w:rsidRDefault="00734728" w:rsidP="00734728">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734728" w:rsidRPr="00D76BB8" w:rsidRDefault="00734728" w:rsidP="00734728">
      <w:pPr>
        <w:jc w:val="center"/>
        <w:rPr>
          <w:b/>
          <w:sz w:val="32"/>
          <w:szCs w:val="32"/>
          <w:u w:val="single"/>
        </w:rPr>
      </w:pPr>
    </w:p>
    <w:p w:rsidR="00734728" w:rsidRDefault="00734728" w:rsidP="00734728">
      <w:pPr>
        <w:jc w:val="center"/>
        <w:rPr>
          <w:b/>
          <w:sz w:val="32"/>
          <w:szCs w:val="32"/>
        </w:rPr>
      </w:pPr>
      <w:r>
        <w:rPr>
          <w:b/>
          <w:sz w:val="32"/>
          <w:szCs w:val="32"/>
        </w:rPr>
        <w:t xml:space="preserve">JUDGMENT </w:t>
      </w:r>
    </w:p>
    <w:p w:rsidR="00FA7526" w:rsidRPr="00BD0146" w:rsidRDefault="00FA7526" w:rsidP="00734728">
      <w:pPr>
        <w:jc w:val="center"/>
        <w:rPr>
          <w:b/>
          <w:sz w:val="32"/>
          <w:szCs w:val="32"/>
        </w:rPr>
      </w:pPr>
    </w:p>
    <w:p w:rsidR="00734728" w:rsidRDefault="00734728" w:rsidP="00734728">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77/2013</w:t>
      </w:r>
    </w:p>
    <w:p w:rsidR="00734728" w:rsidRDefault="00734728" w:rsidP="00734728">
      <w:pPr>
        <w:jc w:val="both"/>
        <w:rPr>
          <w:sz w:val="26"/>
          <w:szCs w:val="26"/>
        </w:rPr>
      </w:pPr>
      <w:r>
        <w:rPr>
          <w:sz w:val="26"/>
          <w:szCs w:val="26"/>
        </w:rPr>
        <w:t xml:space="preserve">In the matter between: </w:t>
      </w:r>
    </w:p>
    <w:p w:rsidR="00734728" w:rsidRDefault="00734728" w:rsidP="00734728">
      <w:pPr>
        <w:jc w:val="both"/>
        <w:rPr>
          <w:sz w:val="26"/>
          <w:szCs w:val="26"/>
        </w:rPr>
      </w:pPr>
    </w:p>
    <w:p w:rsidR="00734728" w:rsidRDefault="00734728" w:rsidP="00734728">
      <w:pPr>
        <w:jc w:val="both"/>
        <w:rPr>
          <w:b/>
          <w:sz w:val="26"/>
          <w:szCs w:val="26"/>
        </w:rPr>
      </w:pPr>
    </w:p>
    <w:p w:rsidR="00734728" w:rsidRDefault="00734728" w:rsidP="00734728">
      <w:pPr>
        <w:spacing w:line="360" w:lineRule="auto"/>
        <w:ind w:left="2880" w:right="-90" w:hanging="2880"/>
        <w:jc w:val="both"/>
        <w:rPr>
          <w:b/>
          <w:sz w:val="26"/>
          <w:szCs w:val="26"/>
        </w:rPr>
      </w:pPr>
      <w:r>
        <w:rPr>
          <w:b/>
          <w:sz w:val="26"/>
          <w:szCs w:val="26"/>
        </w:rPr>
        <w:t>SI</w:t>
      </w:r>
      <w:r w:rsidR="00FA7526">
        <w:rPr>
          <w:b/>
          <w:sz w:val="26"/>
          <w:szCs w:val="26"/>
        </w:rPr>
        <w:t xml:space="preserve">THEMBISO JERRY DLADLA  </w:t>
      </w:r>
      <w:r>
        <w:rPr>
          <w:b/>
          <w:sz w:val="26"/>
          <w:szCs w:val="26"/>
        </w:rPr>
        <w:tab/>
      </w:r>
      <w:r>
        <w:rPr>
          <w:b/>
          <w:sz w:val="26"/>
          <w:szCs w:val="26"/>
        </w:rPr>
        <w:tab/>
      </w:r>
      <w:r>
        <w:rPr>
          <w:b/>
          <w:sz w:val="26"/>
          <w:szCs w:val="26"/>
        </w:rPr>
        <w:tab/>
      </w:r>
      <w:r>
        <w:rPr>
          <w:b/>
          <w:sz w:val="26"/>
          <w:szCs w:val="26"/>
        </w:rPr>
        <w:tab/>
        <w:t xml:space="preserve">       App</w:t>
      </w:r>
      <w:r w:rsidR="00FA7526">
        <w:rPr>
          <w:b/>
          <w:sz w:val="26"/>
          <w:szCs w:val="26"/>
        </w:rPr>
        <w:t>el</w:t>
      </w:r>
      <w:r>
        <w:rPr>
          <w:b/>
          <w:sz w:val="26"/>
          <w:szCs w:val="26"/>
        </w:rPr>
        <w:t xml:space="preserve">lant   </w:t>
      </w:r>
    </w:p>
    <w:p w:rsidR="00734728" w:rsidRDefault="00734728" w:rsidP="00734728">
      <w:pPr>
        <w:spacing w:line="360" w:lineRule="auto"/>
        <w:ind w:left="2880" w:hanging="2880"/>
        <w:jc w:val="both"/>
        <w:rPr>
          <w:sz w:val="26"/>
          <w:szCs w:val="26"/>
        </w:rPr>
      </w:pPr>
    </w:p>
    <w:p w:rsidR="00734728" w:rsidRPr="00F2715F" w:rsidRDefault="00734728" w:rsidP="00734728">
      <w:pPr>
        <w:spacing w:line="360" w:lineRule="auto"/>
        <w:ind w:left="2880" w:hanging="2880"/>
        <w:jc w:val="both"/>
        <w:rPr>
          <w:sz w:val="26"/>
          <w:szCs w:val="26"/>
        </w:rPr>
      </w:pPr>
      <w:r w:rsidRPr="00F2715F">
        <w:rPr>
          <w:sz w:val="26"/>
          <w:szCs w:val="26"/>
        </w:rPr>
        <w:t xml:space="preserve">And </w:t>
      </w:r>
    </w:p>
    <w:p w:rsidR="00734728" w:rsidRDefault="00734728" w:rsidP="00734728">
      <w:pPr>
        <w:pStyle w:val="NoSpacing"/>
      </w:pPr>
    </w:p>
    <w:p w:rsidR="00734728" w:rsidRDefault="00734728" w:rsidP="00734728">
      <w:pPr>
        <w:spacing w:line="360" w:lineRule="auto"/>
        <w:jc w:val="both"/>
        <w:rPr>
          <w:b/>
          <w:sz w:val="26"/>
          <w:szCs w:val="26"/>
        </w:rPr>
      </w:pPr>
      <w:r>
        <w:rPr>
          <w:b/>
          <w:sz w:val="26"/>
          <w:szCs w:val="26"/>
        </w:rPr>
        <w:t>D</w:t>
      </w:r>
      <w:r w:rsidR="00FA7526">
        <w:rPr>
          <w:b/>
          <w:sz w:val="26"/>
          <w:szCs w:val="26"/>
        </w:rPr>
        <w:t xml:space="preserve">UMISANI HAMILTON MANANA </w:t>
      </w:r>
      <w:r w:rsidR="00FA7526">
        <w:rPr>
          <w:b/>
          <w:sz w:val="26"/>
          <w:szCs w:val="26"/>
        </w:rPr>
        <w:tab/>
      </w:r>
      <w:r w:rsidR="00FA7526">
        <w:rPr>
          <w:b/>
          <w:sz w:val="26"/>
          <w:szCs w:val="26"/>
        </w:rPr>
        <w:tab/>
      </w:r>
      <w:r w:rsidR="00FA7526">
        <w:rPr>
          <w:b/>
          <w:sz w:val="26"/>
          <w:szCs w:val="26"/>
        </w:rPr>
        <w:tab/>
      </w:r>
      <w:r w:rsidR="00FA7526">
        <w:rPr>
          <w:b/>
          <w:sz w:val="26"/>
          <w:szCs w:val="26"/>
        </w:rPr>
        <w:tab/>
        <w:t xml:space="preserve">      </w:t>
      </w:r>
      <w:r>
        <w:rPr>
          <w:b/>
          <w:sz w:val="26"/>
          <w:szCs w:val="26"/>
        </w:rPr>
        <w:t xml:space="preserve">Respondent  </w:t>
      </w:r>
    </w:p>
    <w:p w:rsidR="00734728" w:rsidRDefault="00734728" w:rsidP="00734728">
      <w:pPr>
        <w:spacing w:line="360" w:lineRule="auto"/>
        <w:jc w:val="both"/>
        <w:rPr>
          <w:b/>
          <w:sz w:val="26"/>
          <w:szCs w:val="26"/>
        </w:rPr>
      </w:pPr>
    </w:p>
    <w:p w:rsidR="00734728" w:rsidRPr="00AC0C4A" w:rsidRDefault="00734728" w:rsidP="00734728">
      <w:pPr>
        <w:spacing w:line="360" w:lineRule="auto"/>
        <w:ind w:left="2160" w:hanging="2160"/>
        <w:jc w:val="both"/>
        <w:rPr>
          <w:i/>
          <w:sz w:val="26"/>
          <w:szCs w:val="26"/>
        </w:rPr>
      </w:pPr>
      <w:r>
        <w:rPr>
          <w:b/>
          <w:sz w:val="26"/>
          <w:szCs w:val="26"/>
        </w:rPr>
        <w:t>Neutral citation:</w:t>
      </w:r>
      <w:r>
        <w:rPr>
          <w:b/>
          <w:sz w:val="26"/>
          <w:szCs w:val="26"/>
        </w:rPr>
        <w:tab/>
      </w:r>
      <w:bookmarkStart w:id="0" w:name="_GoBack"/>
      <w:proofErr w:type="spellStart"/>
      <w:r w:rsidR="00FA7526">
        <w:rPr>
          <w:b/>
          <w:i/>
          <w:sz w:val="26"/>
          <w:szCs w:val="26"/>
        </w:rPr>
        <w:t>Sithembiso</w:t>
      </w:r>
      <w:proofErr w:type="spellEnd"/>
      <w:r w:rsidR="00FA7526">
        <w:rPr>
          <w:b/>
          <w:i/>
          <w:sz w:val="26"/>
          <w:szCs w:val="26"/>
        </w:rPr>
        <w:t xml:space="preserve"> Jerry </w:t>
      </w:r>
      <w:proofErr w:type="spellStart"/>
      <w:r w:rsidR="00FA7526">
        <w:rPr>
          <w:b/>
          <w:i/>
          <w:sz w:val="26"/>
          <w:szCs w:val="26"/>
        </w:rPr>
        <w:t>Dladla</w:t>
      </w:r>
      <w:proofErr w:type="spellEnd"/>
      <w:r w:rsidR="00FA7526">
        <w:rPr>
          <w:b/>
          <w:i/>
          <w:sz w:val="26"/>
          <w:szCs w:val="26"/>
        </w:rPr>
        <w:t xml:space="preserve"> </w:t>
      </w:r>
      <w:r w:rsidRPr="002B3E5C">
        <w:rPr>
          <w:b/>
          <w:i/>
          <w:sz w:val="26"/>
          <w:szCs w:val="26"/>
        </w:rPr>
        <w:t xml:space="preserve">v </w:t>
      </w:r>
      <w:proofErr w:type="spellStart"/>
      <w:r w:rsidR="00FA7526">
        <w:rPr>
          <w:b/>
          <w:i/>
          <w:sz w:val="26"/>
          <w:szCs w:val="26"/>
        </w:rPr>
        <w:t>Dumisani</w:t>
      </w:r>
      <w:proofErr w:type="spellEnd"/>
      <w:r w:rsidR="00FA7526">
        <w:rPr>
          <w:b/>
          <w:i/>
          <w:sz w:val="26"/>
          <w:szCs w:val="26"/>
        </w:rPr>
        <w:t xml:space="preserve"> Hamilton </w:t>
      </w:r>
      <w:proofErr w:type="spellStart"/>
      <w:r w:rsidR="00FA7526">
        <w:rPr>
          <w:b/>
          <w:i/>
          <w:sz w:val="26"/>
          <w:szCs w:val="26"/>
        </w:rPr>
        <w:t>Manana</w:t>
      </w:r>
      <w:proofErr w:type="spellEnd"/>
      <w:r w:rsidR="00FA7526">
        <w:rPr>
          <w:b/>
          <w:i/>
          <w:sz w:val="26"/>
          <w:szCs w:val="26"/>
        </w:rPr>
        <w:t xml:space="preserve"> </w:t>
      </w:r>
      <w:r w:rsidRPr="002B3E5C">
        <w:rPr>
          <w:b/>
          <w:i/>
          <w:sz w:val="26"/>
          <w:szCs w:val="26"/>
        </w:rPr>
        <w:t>(7</w:t>
      </w:r>
      <w:r w:rsidR="00FA7526">
        <w:rPr>
          <w:b/>
          <w:i/>
          <w:sz w:val="26"/>
          <w:szCs w:val="26"/>
        </w:rPr>
        <w:t>7</w:t>
      </w:r>
      <w:r w:rsidRPr="002B3E5C">
        <w:rPr>
          <w:b/>
          <w:i/>
          <w:sz w:val="26"/>
          <w:szCs w:val="26"/>
        </w:rPr>
        <w:t xml:space="preserve">/2013) [2013] SZHC </w:t>
      </w:r>
      <w:r>
        <w:rPr>
          <w:b/>
          <w:i/>
          <w:sz w:val="26"/>
          <w:szCs w:val="26"/>
        </w:rPr>
        <w:t>25</w:t>
      </w:r>
      <w:r w:rsidR="00FA7526">
        <w:rPr>
          <w:b/>
          <w:i/>
          <w:sz w:val="26"/>
          <w:szCs w:val="26"/>
        </w:rPr>
        <w:t>4</w:t>
      </w:r>
      <w:r w:rsidRPr="002B3E5C">
        <w:rPr>
          <w:b/>
          <w:i/>
          <w:sz w:val="26"/>
          <w:szCs w:val="26"/>
        </w:rPr>
        <w:t xml:space="preserve"> (11</w:t>
      </w:r>
      <w:r w:rsidRPr="002B3E5C">
        <w:rPr>
          <w:b/>
          <w:i/>
          <w:sz w:val="26"/>
          <w:szCs w:val="26"/>
          <w:vertAlign w:val="superscript"/>
        </w:rPr>
        <w:t>th</w:t>
      </w:r>
      <w:r w:rsidRPr="002B3E5C">
        <w:rPr>
          <w:b/>
          <w:i/>
          <w:sz w:val="26"/>
          <w:szCs w:val="26"/>
        </w:rPr>
        <w:t xml:space="preserve"> November, 2013</w:t>
      </w:r>
      <w:bookmarkEnd w:id="0"/>
      <w:r w:rsidRPr="002B3E5C">
        <w:rPr>
          <w:b/>
          <w:i/>
          <w:sz w:val="26"/>
          <w:szCs w:val="26"/>
        </w:rPr>
        <w:t>)</w:t>
      </w:r>
    </w:p>
    <w:p w:rsidR="00734728" w:rsidRDefault="00734728" w:rsidP="00734728">
      <w:pPr>
        <w:jc w:val="both"/>
        <w:rPr>
          <w:sz w:val="26"/>
          <w:szCs w:val="26"/>
        </w:rPr>
      </w:pPr>
    </w:p>
    <w:p w:rsidR="00734728" w:rsidRPr="002B3E5C" w:rsidRDefault="00734728" w:rsidP="00734728">
      <w:pPr>
        <w:jc w:val="both"/>
        <w:rPr>
          <w:b/>
          <w:sz w:val="26"/>
          <w:szCs w:val="26"/>
        </w:rPr>
      </w:pPr>
      <w:r w:rsidRPr="00415520">
        <w:rPr>
          <w:b/>
          <w:sz w:val="26"/>
          <w:szCs w:val="26"/>
        </w:rPr>
        <w:t>Coram:</w:t>
      </w:r>
      <w:r>
        <w:rPr>
          <w:sz w:val="26"/>
          <w:szCs w:val="26"/>
        </w:rPr>
        <w:tab/>
      </w:r>
      <w:r>
        <w:rPr>
          <w:sz w:val="26"/>
          <w:szCs w:val="26"/>
        </w:rPr>
        <w:tab/>
      </w:r>
      <w:r w:rsidRPr="002B3E5C">
        <w:rPr>
          <w:b/>
          <w:sz w:val="26"/>
          <w:szCs w:val="26"/>
        </w:rPr>
        <w:t xml:space="preserve">M. </w:t>
      </w:r>
      <w:proofErr w:type="spellStart"/>
      <w:r w:rsidRPr="002B3E5C">
        <w:rPr>
          <w:b/>
          <w:sz w:val="26"/>
          <w:szCs w:val="26"/>
        </w:rPr>
        <w:t>Dlamini</w:t>
      </w:r>
      <w:proofErr w:type="spellEnd"/>
      <w:r w:rsidRPr="002B3E5C">
        <w:rPr>
          <w:b/>
          <w:sz w:val="26"/>
          <w:szCs w:val="26"/>
        </w:rPr>
        <w:t xml:space="preserve"> J.</w:t>
      </w:r>
    </w:p>
    <w:p w:rsidR="00734728" w:rsidRDefault="00734728" w:rsidP="00734728">
      <w:pPr>
        <w:jc w:val="both"/>
        <w:rPr>
          <w:sz w:val="26"/>
          <w:szCs w:val="26"/>
        </w:rPr>
      </w:pPr>
    </w:p>
    <w:p w:rsidR="00734728" w:rsidRDefault="00734728" w:rsidP="00734728">
      <w:pPr>
        <w:jc w:val="both"/>
        <w:rPr>
          <w:sz w:val="26"/>
          <w:szCs w:val="26"/>
        </w:rPr>
      </w:pPr>
      <w:r w:rsidRPr="00415520">
        <w:rPr>
          <w:b/>
          <w:sz w:val="26"/>
          <w:szCs w:val="26"/>
        </w:rPr>
        <w:t>Heard:</w:t>
      </w:r>
      <w:r>
        <w:rPr>
          <w:sz w:val="26"/>
          <w:szCs w:val="26"/>
        </w:rPr>
        <w:tab/>
      </w:r>
      <w:r>
        <w:rPr>
          <w:sz w:val="26"/>
          <w:szCs w:val="26"/>
        </w:rPr>
        <w:tab/>
      </w:r>
      <w:r w:rsidR="00FA7526" w:rsidRPr="00FA7526">
        <w:rPr>
          <w:b/>
          <w:sz w:val="26"/>
          <w:szCs w:val="26"/>
        </w:rPr>
        <w:t>30</w:t>
      </w:r>
      <w:r w:rsidRPr="00FA7526">
        <w:rPr>
          <w:b/>
          <w:sz w:val="26"/>
          <w:szCs w:val="26"/>
          <w:vertAlign w:val="superscript"/>
        </w:rPr>
        <w:t>th</w:t>
      </w:r>
      <w:r w:rsidRPr="002B3E5C">
        <w:rPr>
          <w:b/>
          <w:sz w:val="26"/>
          <w:szCs w:val="26"/>
        </w:rPr>
        <w:t xml:space="preserve"> </w:t>
      </w:r>
      <w:r w:rsidR="00FA7526">
        <w:rPr>
          <w:b/>
          <w:sz w:val="26"/>
          <w:szCs w:val="26"/>
        </w:rPr>
        <w:t>Octo</w:t>
      </w:r>
      <w:r w:rsidRPr="002B3E5C">
        <w:rPr>
          <w:b/>
          <w:sz w:val="26"/>
          <w:szCs w:val="26"/>
        </w:rPr>
        <w:t>ber 2013</w:t>
      </w:r>
    </w:p>
    <w:p w:rsidR="00734728" w:rsidRDefault="00734728" w:rsidP="00734728">
      <w:pPr>
        <w:jc w:val="both"/>
        <w:rPr>
          <w:sz w:val="26"/>
          <w:szCs w:val="26"/>
        </w:rPr>
      </w:pPr>
    </w:p>
    <w:p w:rsidR="00734728" w:rsidRDefault="00734728" w:rsidP="00734728">
      <w:pPr>
        <w:jc w:val="both"/>
        <w:rPr>
          <w:sz w:val="26"/>
          <w:szCs w:val="26"/>
        </w:rPr>
      </w:pPr>
      <w:r w:rsidRPr="00415520">
        <w:rPr>
          <w:b/>
          <w:sz w:val="26"/>
          <w:szCs w:val="26"/>
        </w:rPr>
        <w:t>Delivered:</w:t>
      </w:r>
      <w:r>
        <w:rPr>
          <w:sz w:val="26"/>
          <w:szCs w:val="26"/>
        </w:rPr>
        <w:tab/>
      </w:r>
      <w:r>
        <w:rPr>
          <w:sz w:val="26"/>
          <w:szCs w:val="26"/>
        </w:rPr>
        <w:tab/>
      </w:r>
      <w:r w:rsidRPr="002B3E5C">
        <w:rPr>
          <w:b/>
          <w:sz w:val="26"/>
          <w:szCs w:val="26"/>
        </w:rPr>
        <w:t>1</w:t>
      </w:r>
      <w:r w:rsidR="007B6909">
        <w:rPr>
          <w:b/>
          <w:sz w:val="26"/>
          <w:szCs w:val="26"/>
        </w:rPr>
        <w:t>2</w:t>
      </w:r>
      <w:r w:rsidRPr="002B3E5C">
        <w:rPr>
          <w:b/>
          <w:sz w:val="26"/>
          <w:szCs w:val="26"/>
          <w:vertAlign w:val="superscript"/>
        </w:rPr>
        <w:t>th</w:t>
      </w:r>
      <w:r w:rsidRPr="002B3E5C">
        <w:rPr>
          <w:b/>
          <w:sz w:val="26"/>
          <w:szCs w:val="26"/>
        </w:rPr>
        <w:t xml:space="preserve"> November 2013</w:t>
      </w:r>
    </w:p>
    <w:p w:rsidR="00734728" w:rsidRDefault="00734728" w:rsidP="00734728">
      <w:pPr>
        <w:spacing w:line="360" w:lineRule="auto"/>
        <w:ind w:left="1440" w:hanging="1440"/>
        <w:jc w:val="both"/>
        <w:rPr>
          <w:sz w:val="26"/>
          <w:szCs w:val="26"/>
        </w:rPr>
      </w:pPr>
      <w:r>
        <w:rPr>
          <w:sz w:val="26"/>
          <w:szCs w:val="26"/>
        </w:rPr>
        <w:tab/>
      </w:r>
    </w:p>
    <w:p w:rsidR="00FA7526" w:rsidRPr="000F6C3D" w:rsidRDefault="00734728" w:rsidP="00D156D6">
      <w:pPr>
        <w:pStyle w:val="ListParagraph"/>
        <w:spacing w:line="360" w:lineRule="auto"/>
        <w:ind w:left="1440"/>
        <w:jc w:val="both"/>
        <w:rPr>
          <w:sz w:val="26"/>
          <w:szCs w:val="26"/>
        </w:rPr>
      </w:pPr>
      <w:r>
        <w:rPr>
          <w:i/>
          <w:sz w:val="26"/>
          <w:szCs w:val="26"/>
        </w:rPr>
        <w:t>– app</w:t>
      </w:r>
      <w:r w:rsidR="00FA7526">
        <w:rPr>
          <w:i/>
          <w:sz w:val="26"/>
          <w:szCs w:val="26"/>
        </w:rPr>
        <w:t xml:space="preserve">eal from Magistrate’s Court – summary judgment </w:t>
      </w:r>
      <w:r w:rsidR="007B6909">
        <w:rPr>
          <w:i/>
          <w:sz w:val="26"/>
          <w:szCs w:val="26"/>
        </w:rPr>
        <w:t xml:space="preserve">application – where magistrate hold that counter-claim lacks </w:t>
      </w:r>
      <w:proofErr w:type="spellStart"/>
      <w:r w:rsidR="007B6909">
        <w:rPr>
          <w:i/>
          <w:sz w:val="26"/>
          <w:szCs w:val="26"/>
        </w:rPr>
        <w:t>causa</w:t>
      </w:r>
      <w:proofErr w:type="spellEnd"/>
      <w:r w:rsidR="007B6909">
        <w:rPr>
          <w:i/>
          <w:sz w:val="26"/>
          <w:szCs w:val="26"/>
        </w:rPr>
        <w:t xml:space="preserve"> – magistrate ought to grant leave to amend with cost except where </w:t>
      </w:r>
      <w:r w:rsidR="00E417F6">
        <w:rPr>
          <w:i/>
          <w:sz w:val="26"/>
          <w:szCs w:val="26"/>
        </w:rPr>
        <w:t xml:space="preserve">the claim is totally or manifestly devoid of </w:t>
      </w:r>
      <w:proofErr w:type="spellStart"/>
      <w:r w:rsidR="001E59B5">
        <w:rPr>
          <w:i/>
          <w:sz w:val="26"/>
          <w:szCs w:val="26"/>
        </w:rPr>
        <w:t>causa</w:t>
      </w:r>
      <w:proofErr w:type="spellEnd"/>
      <w:r w:rsidR="00FA7526">
        <w:rPr>
          <w:i/>
          <w:sz w:val="26"/>
          <w:szCs w:val="26"/>
        </w:rPr>
        <w:t xml:space="preserve"> </w:t>
      </w:r>
      <w:r w:rsidR="001E59B5">
        <w:rPr>
          <w:i/>
          <w:sz w:val="26"/>
          <w:szCs w:val="26"/>
        </w:rPr>
        <w:t xml:space="preserve">– bona fide </w:t>
      </w:r>
      <w:proofErr w:type="spellStart"/>
      <w:r w:rsidR="001E59B5">
        <w:rPr>
          <w:i/>
          <w:sz w:val="26"/>
          <w:szCs w:val="26"/>
        </w:rPr>
        <w:t>defence</w:t>
      </w:r>
      <w:proofErr w:type="spellEnd"/>
      <w:r w:rsidR="001E59B5">
        <w:rPr>
          <w:i/>
          <w:sz w:val="26"/>
          <w:szCs w:val="26"/>
        </w:rPr>
        <w:t xml:space="preserve"> </w:t>
      </w:r>
      <w:r w:rsidR="00E417F6">
        <w:rPr>
          <w:i/>
          <w:sz w:val="26"/>
          <w:szCs w:val="26"/>
        </w:rPr>
        <w:t>–</w:t>
      </w:r>
      <w:r w:rsidR="001E59B5">
        <w:rPr>
          <w:i/>
          <w:sz w:val="26"/>
          <w:szCs w:val="26"/>
        </w:rPr>
        <w:t xml:space="preserve"> </w:t>
      </w:r>
      <w:r w:rsidR="00E417F6">
        <w:rPr>
          <w:i/>
          <w:sz w:val="26"/>
          <w:szCs w:val="26"/>
        </w:rPr>
        <w:t xml:space="preserve">must be honest and </w:t>
      </w:r>
      <w:r w:rsidR="00C9347C">
        <w:rPr>
          <w:i/>
          <w:sz w:val="26"/>
          <w:szCs w:val="26"/>
        </w:rPr>
        <w:t>genuine – appeal dismissal.</w:t>
      </w:r>
    </w:p>
    <w:p w:rsidR="00FA7526" w:rsidRDefault="00FA7526" w:rsidP="00734728">
      <w:pPr>
        <w:spacing w:line="360" w:lineRule="auto"/>
        <w:ind w:left="1440" w:hanging="1440"/>
        <w:jc w:val="both"/>
        <w:rPr>
          <w:sz w:val="26"/>
          <w:szCs w:val="26"/>
        </w:rPr>
      </w:pPr>
    </w:p>
    <w:p w:rsidR="00FA7526" w:rsidRDefault="00FA7526" w:rsidP="00734728">
      <w:pPr>
        <w:spacing w:line="360" w:lineRule="auto"/>
        <w:ind w:left="1440" w:hanging="1440"/>
        <w:jc w:val="both"/>
        <w:rPr>
          <w:sz w:val="26"/>
          <w:szCs w:val="26"/>
        </w:rPr>
      </w:pPr>
    </w:p>
    <w:p w:rsidR="00FA7526" w:rsidRDefault="00FA7526" w:rsidP="00734728">
      <w:pPr>
        <w:spacing w:line="360" w:lineRule="auto"/>
        <w:ind w:left="1440" w:hanging="1440"/>
        <w:jc w:val="both"/>
        <w:rPr>
          <w:sz w:val="26"/>
          <w:szCs w:val="26"/>
        </w:rPr>
      </w:pPr>
    </w:p>
    <w:p w:rsidR="00734728" w:rsidRDefault="00734728" w:rsidP="00734728">
      <w:pPr>
        <w:spacing w:line="360" w:lineRule="auto"/>
        <w:ind w:left="1440" w:hanging="1440"/>
        <w:jc w:val="both"/>
        <w:rPr>
          <w:sz w:val="26"/>
          <w:szCs w:val="26"/>
        </w:rPr>
      </w:pPr>
      <w:r w:rsidRPr="000F6C3D">
        <w:rPr>
          <w:sz w:val="26"/>
          <w:szCs w:val="26"/>
        </w:rPr>
        <w:t>Summary:</w:t>
      </w:r>
      <w:r w:rsidRPr="000F6C3D">
        <w:rPr>
          <w:sz w:val="26"/>
          <w:szCs w:val="26"/>
        </w:rPr>
        <w:tab/>
      </w:r>
      <w:r>
        <w:rPr>
          <w:sz w:val="26"/>
          <w:szCs w:val="26"/>
        </w:rPr>
        <w:t>Th</w:t>
      </w:r>
      <w:r w:rsidR="00FA7526">
        <w:rPr>
          <w:sz w:val="26"/>
          <w:szCs w:val="26"/>
        </w:rPr>
        <w:t xml:space="preserve">is is an appeal from the Magistrate </w:t>
      </w:r>
      <w:r w:rsidR="00397160">
        <w:rPr>
          <w:sz w:val="26"/>
          <w:szCs w:val="26"/>
        </w:rPr>
        <w:t>sitting in Mbabane</w:t>
      </w:r>
      <w:r w:rsidR="00FA7526">
        <w:rPr>
          <w:sz w:val="26"/>
          <w:szCs w:val="26"/>
        </w:rPr>
        <w:t xml:space="preserve"> wh</w:t>
      </w:r>
      <w:r w:rsidR="00397160">
        <w:rPr>
          <w:sz w:val="26"/>
          <w:szCs w:val="26"/>
        </w:rPr>
        <w:t>o</w:t>
      </w:r>
      <w:r w:rsidR="00FA7526">
        <w:rPr>
          <w:sz w:val="26"/>
          <w:szCs w:val="26"/>
        </w:rPr>
        <w:t xml:space="preserve"> granted respondent summary judgment on the basis that the counter</w:t>
      </w:r>
      <w:r w:rsidR="00397160">
        <w:rPr>
          <w:sz w:val="26"/>
          <w:szCs w:val="26"/>
        </w:rPr>
        <w:t>-</w:t>
      </w:r>
      <w:r w:rsidR="00FA7526">
        <w:rPr>
          <w:sz w:val="26"/>
          <w:szCs w:val="26"/>
        </w:rPr>
        <w:t xml:space="preserve">claim by appellant did not disclose </w:t>
      </w:r>
      <w:r w:rsidR="000E2782">
        <w:rPr>
          <w:sz w:val="26"/>
          <w:szCs w:val="26"/>
        </w:rPr>
        <w:t>any cause of action.</w:t>
      </w:r>
    </w:p>
    <w:p w:rsidR="000E2782" w:rsidRDefault="000E2782" w:rsidP="00734728">
      <w:pPr>
        <w:spacing w:line="360" w:lineRule="auto"/>
        <w:ind w:left="1440" w:hanging="1440"/>
        <w:jc w:val="both"/>
        <w:rPr>
          <w:sz w:val="26"/>
          <w:szCs w:val="26"/>
        </w:rPr>
      </w:pPr>
    </w:p>
    <w:p w:rsidR="000E2782" w:rsidRPr="000E2782" w:rsidRDefault="000E2782" w:rsidP="00734728">
      <w:pPr>
        <w:spacing w:line="360" w:lineRule="auto"/>
        <w:ind w:left="1440" w:hanging="1440"/>
        <w:jc w:val="both"/>
        <w:rPr>
          <w:sz w:val="26"/>
          <w:szCs w:val="26"/>
          <w:u w:val="single"/>
        </w:rPr>
      </w:pPr>
      <w:r>
        <w:rPr>
          <w:sz w:val="26"/>
          <w:szCs w:val="26"/>
        </w:rPr>
        <w:tab/>
      </w:r>
      <w:r w:rsidRPr="000E2782">
        <w:rPr>
          <w:sz w:val="26"/>
          <w:szCs w:val="26"/>
          <w:u w:val="single"/>
        </w:rPr>
        <w:t>Background</w:t>
      </w:r>
    </w:p>
    <w:p w:rsidR="000E2782" w:rsidRDefault="000E2782" w:rsidP="00734728">
      <w:pPr>
        <w:spacing w:line="360" w:lineRule="auto"/>
        <w:ind w:left="1440" w:hanging="1440"/>
        <w:jc w:val="both"/>
        <w:rPr>
          <w:sz w:val="26"/>
          <w:szCs w:val="26"/>
        </w:rPr>
      </w:pPr>
    </w:p>
    <w:p w:rsidR="000E2782" w:rsidRDefault="000E2782" w:rsidP="00734728">
      <w:pPr>
        <w:spacing w:line="360" w:lineRule="auto"/>
        <w:ind w:left="1440" w:hanging="1440"/>
        <w:jc w:val="both"/>
        <w:rPr>
          <w:sz w:val="26"/>
          <w:szCs w:val="26"/>
        </w:rPr>
      </w:pPr>
      <w:r>
        <w:rPr>
          <w:sz w:val="26"/>
          <w:szCs w:val="26"/>
        </w:rPr>
        <w:t>[1]</w:t>
      </w:r>
      <w:r>
        <w:rPr>
          <w:sz w:val="26"/>
          <w:szCs w:val="26"/>
        </w:rPr>
        <w:tab/>
      </w:r>
      <w:r w:rsidR="00397160">
        <w:rPr>
          <w:sz w:val="26"/>
          <w:szCs w:val="26"/>
        </w:rPr>
        <w:t>Around April, 2012, t</w:t>
      </w:r>
      <w:r>
        <w:rPr>
          <w:sz w:val="26"/>
          <w:szCs w:val="26"/>
        </w:rPr>
        <w:t>he parties entered into a lease agreement of a motor vehicle</w:t>
      </w:r>
      <w:r w:rsidR="00397160">
        <w:rPr>
          <w:sz w:val="26"/>
          <w:szCs w:val="26"/>
        </w:rPr>
        <w:t>.</w:t>
      </w:r>
      <w:r>
        <w:rPr>
          <w:sz w:val="26"/>
          <w:szCs w:val="26"/>
        </w:rPr>
        <w:t xml:space="preserve">  The purchase price was the sum of E40</w:t>
      </w:r>
      <w:proofErr w:type="gramStart"/>
      <w:r>
        <w:rPr>
          <w:sz w:val="26"/>
          <w:szCs w:val="26"/>
        </w:rPr>
        <w:t>,000.00</w:t>
      </w:r>
      <w:proofErr w:type="gramEnd"/>
      <w:r>
        <w:rPr>
          <w:sz w:val="26"/>
          <w:szCs w:val="26"/>
        </w:rPr>
        <w:t xml:space="preserve"> with a deposit of E21,000.00.  The balance was to be paid in monthly installments of E3</w:t>
      </w:r>
      <w:proofErr w:type="gramStart"/>
      <w:r>
        <w:rPr>
          <w:sz w:val="26"/>
          <w:szCs w:val="26"/>
        </w:rPr>
        <w:t>,000.00</w:t>
      </w:r>
      <w:proofErr w:type="gramEnd"/>
      <w:r>
        <w:rPr>
          <w:sz w:val="26"/>
          <w:szCs w:val="26"/>
        </w:rPr>
        <w:t>.</w:t>
      </w:r>
    </w:p>
    <w:p w:rsidR="000E2782" w:rsidRDefault="000E2782" w:rsidP="00734728">
      <w:pPr>
        <w:spacing w:line="360" w:lineRule="auto"/>
        <w:ind w:left="1440" w:hanging="1440"/>
        <w:jc w:val="both"/>
        <w:rPr>
          <w:sz w:val="26"/>
          <w:szCs w:val="26"/>
        </w:rPr>
      </w:pPr>
    </w:p>
    <w:p w:rsidR="000E2782" w:rsidRDefault="000E2782" w:rsidP="00734728">
      <w:pPr>
        <w:spacing w:line="360" w:lineRule="auto"/>
        <w:ind w:left="1440" w:hanging="1440"/>
        <w:jc w:val="both"/>
        <w:rPr>
          <w:sz w:val="26"/>
          <w:szCs w:val="26"/>
        </w:rPr>
      </w:pPr>
      <w:r>
        <w:rPr>
          <w:sz w:val="26"/>
          <w:szCs w:val="26"/>
        </w:rPr>
        <w:t>[2]</w:t>
      </w:r>
      <w:r>
        <w:rPr>
          <w:sz w:val="26"/>
          <w:szCs w:val="26"/>
        </w:rPr>
        <w:tab/>
        <w:t>In the months of May, June, July appellant fell into arrears.  Respondent instituted action proceedings for the balance of E9</w:t>
      </w:r>
      <w:proofErr w:type="gramStart"/>
      <w:r>
        <w:rPr>
          <w:sz w:val="26"/>
          <w:szCs w:val="26"/>
        </w:rPr>
        <w:t>,000.00</w:t>
      </w:r>
      <w:proofErr w:type="gramEnd"/>
      <w:r>
        <w:rPr>
          <w:sz w:val="26"/>
          <w:szCs w:val="26"/>
        </w:rPr>
        <w:t xml:space="preserve"> claiming breach of contract.  Subsequently, respondent filed for a summary judgment application.</w:t>
      </w:r>
    </w:p>
    <w:p w:rsidR="000E2782" w:rsidRDefault="000E2782" w:rsidP="00734728">
      <w:pPr>
        <w:spacing w:line="360" w:lineRule="auto"/>
        <w:ind w:left="1440" w:hanging="1440"/>
        <w:jc w:val="both"/>
        <w:rPr>
          <w:sz w:val="26"/>
          <w:szCs w:val="26"/>
        </w:rPr>
      </w:pPr>
    </w:p>
    <w:p w:rsidR="000E2782" w:rsidRDefault="000E2782" w:rsidP="00734728">
      <w:pPr>
        <w:spacing w:line="360" w:lineRule="auto"/>
        <w:ind w:left="1440" w:hanging="1440"/>
        <w:jc w:val="both"/>
        <w:rPr>
          <w:sz w:val="26"/>
          <w:szCs w:val="26"/>
        </w:rPr>
      </w:pPr>
      <w:r>
        <w:rPr>
          <w:sz w:val="26"/>
          <w:szCs w:val="26"/>
        </w:rPr>
        <w:t>[3]</w:t>
      </w:r>
      <w:r>
        <w:rPr>
          <w:sz w:val="26"/>
          <w:szCs w:val="26"/>
        </w:rPr>
        <w:tab/>
        <w:t xml:space="preserve">It appears that before the closing of pleadings, respondent without a court </w:t>
      </w:r>
      <w:proofErr w:type="gramStart"/>
      <w:r>
        <w:rPr>
          <w:sz w:val="26"/>
          <w:szCs w:val="26"/>
        </w:rPr>
        <w:t>order,</w:t>
      </w:r>
      <w:proofErr w:type="gramEnd"/>
      <w:r>
        <w:rPr>
          <w:sz w:val="26"/>
          <w:szCs w:val="26"/>
        </w:rPr>
        <w:t xml:space="preserve"> repossessed the </w:t>
      </w:r>
      <w:proofErr w:type="spellStart"/>
      <w:r w:rsidRPr="00397160">
        <w:rPr>
          <w:i/>
          <w:sz w:val="26"/>
          <w:szCs w:val="26"/>
        </w:rPr>
        <w:t>merx</w:t>
      </w:r>
      <w:proofErr w:type="spellEnd"/>
      <w:r>
        <w:rPr>
          <w:sz w:val="26"/>
          <w:szCs w:val="26"/>
        </w:rPr>
        <w:t xml:space="preserve">.  Appellant filed a </w:t>
      </w:r>
      <w:r w:rsidR="00E417F6" w:rsidRPr="00E417F6">
        <w:rPr>
          <w:i/>
          <w:sz w:val="26"/>
          <w:szCs w:val="26"/>
        </w:rPr>
        <w:t>mandamus</w:t>
      </w:r>
      <w:r w:rsidRPr="000E2782">
        <w:rPr>
          <w:i/>
          <w:sz w:val="26"/>
          <w:szCs w:val="26"/>
        </w:rPr>
        <w:t xml:space="preserve"> van </w:t>
      </w:r>
      <w:proofErr w:type="spellStart"/>
      <w:r w:rsidRPr="000E2782">
        <w:rPr>
          <w:i/>
          <w:sz w:val="26"/>
          <w:szCs w:val="26"/>
        </w:rPr>
        <w:t>spoilie</w:t>
      </w:r>
      <w:proofErr w:type="spellEnd"/>
      <w:r>
        <w:rPr>
          <w:sz w:val="26"/>
          <w:szCs w:val="26"/>
        </w:rPr>
        <w:t xml:space="preserve"> application.  It was granted in his </w:t>
      </w:r>
      <w:proofErr w:type="spellStart"/>
      <w:r>
        <w:rPr>
          <w:sz w:val="26"/>
          <w:szCs w:val="26"/>
        </w:rPr>
        <w:t>favour</w:t>
      </w:r>
      <w:proofErr w:type="spellEnd"/>
      <w:r>
        <w:rPr>
          <w:sz w:val="26"/>
          <w:szCs w:val="26"/>
        </w:rPr>
        <w:t>.</w:t>
      </w:r>
    </w:p>
    <w:p w:rsidR="000E2782" w:rsidRDefault="000E2782" w:rsidP="00734728">
      <w:pPr>
        <w:spacing w:line="360" w:lineRule="auto"/>
        <w:ind w:left="1440" w:hanging="1440"/>
        <w:jc w:val="both"/>
        <w:rPr>
          <w:sz w:val="26"/>
          <w:szCs w:val="26"/>
        </w:rPr>
      </w:pPr>
    </w:p>
    <w:p w:rsidR="000E2782" w:rsidRPr="00E417F6" w:rsidRDefault="000E2782" w:rsidP="00734728">
      <w:pPr>
        <w:spacing w:line="360" w:lineRule="auto"/>
        <w:ind w:left="1440" w:hanging="1440"/>
        <w:jc w:val="both"/>
        <w:rPr>
          <w:i/>
          <w:sz w:val="26"/>
          <w:szCs w:val="26"/>
        </w:rPr>
      </w:pPr>
      <w:r>
        <w:rPr>
          <w:sz w:val="26"/>
          <w:szCs w:val="26"/>
        </w:rPr>
        <w:t>[4]</w:t>
      </w:r>
      <w:r>
        <w:rPr>
          <w:sz w:val="26"/>
          <w:szCs w:val="26"/>
        </w:rPr>
        <w:tab/>
        <w:t xml:space="preserve">Taking advantage of this situation, appellant in </w:t>
      </w:r>
      <w:proofErr w:type="spellStart"/>
      <w:r>
        <w:rPr>
          <w:sz w:val="26"/>
          <w:szCs w:val="26"/>
        </w:rPr>
        <w:t>defence</w:t>
      </w:r>
      <w:proofErr w:type="spellEnd"/>
      <w:r>
        <w:rPr>
          <w:sz w:val="26"/>
          <w:szCs w:val="26"/>
        </w:rPr>
        <w:t xml:space="preserve"> of the pending summary judgment against him raised a counter claim.  He alleged that he lost business to the tune of E10</w:t>
      </w:r>
      <w:proofErr w:type="gramStart"/>
      <w:r>
        <w:rPr>
          <w:sz w:val="26"/>
          <w:szCs w:val="26"/>
        </w:rPr>
        <w:t>,000</w:t>
      </w:r>
      <w:proofErr w:type="gramEnd"/>
      <w:r>
        <w:rPr>
          <w:sz w:val="26"/>
          <w:szCs w:val="26"/>
        </w:rPr>
        <w:t xml:space="preserve"> at the instance of respondent when he dispossessed him of the said </w:t>
      </w:r>
      <w:proofErr w:type="spellStart"/>
      <w:r w:rsidRPr="00E417F6">
        <w:rPr>
          <w:i/>
          <w:sz w:val="26"/>
          <w:szCs w:val="26"/>
        </w:rPr>
        <w:t>merx</w:t>
      </w:r>
      <w:proofErr w:type="spellEnd"/>
      <w:r w:rsidR="00397160">
        <w:rPr>
          <w:i/>
          <w:sz w:val="26"/>
          <w:szCs w:val="26"/>
        </w:rPr>
        <w:t xml:space="preserve"> </w:t>
      </w:r>
      <w:r w:rsidR="00397160">
        <w:rPr>
          <w:sz w:val="26"/>
          <w:szCs w:val="26"/>
        </w:rPr>
        <w:t>without a court order</w:t>
      </w:r>
      <w:r w:rsidRPr="00E417F6">
        <w:rPr>
          <w:i/>
          <w:sz w:val="26"/>
          <w:szCs w:val="26"/>
        </w:rPr>
        <w:t>.</w:t>
      </w:r>
    </w:p>
    <w:p w:rsidR="000E2782" w:rsidRDefault="000E2782" w:rsidP="00734728">
      <w:pPr>
        <w:spacing w:line="360" w:lineRule="auto"/>
        <w:ind w:left="1440" w:hanging="1440"/>
        <w:jc w:val="both"/>
        <w:rPr>
          <w:sz w:val="26"/>
          <w:szCs w:val="26"/>
        </w:rPr>
      </w:pPr>
    </w:p>
    <w:p w:rsidR="000E2782" w:rsidRDefault="000E2782" w:rsidP="00734728">
      <w:pPr>
        <w:spacing w:line="360" w:lineRule="auto"/>
        <w:ind w:left="1440" w:hanging="1440"/>
        <w:jc w:val="both"/>
        <w:rPr>
          <w:sz w:val="26"/>
          <w:szCs w:val="26"/>
        </w:rPr>
      </w:pPr>
      <w:r>
        <w:rPr>
          <w:sz w:val="26"/>
          <w:szCs w:val="26"/>
        </w:rPr>
        <w:t>[5]</w:t>
      </w:r>
      <w:r>
        <w:rPr>
          <w:sz w:val="26"/>
          <w:szCs w:val="26"/>
        </w:rPr>
        <w:tab/>
      </w:r>
      <w:r w:rsidR="0004245A">
        <w:rPr>
          <w:sz w:val="26"/>
          <w:szCs w:val="26"/>
        </w:rPr>
        <w:t xml:space="preserve">When the matter was called, respondent raised a </w:t>
      </w:r>
      <w:r w:rsidR="0004245A" w:rsidRPr="0004245A">
        <w:rPr>
          <w:i/>
          <w:sz w:val="26"/>
          <w:szCs w:val="26"/>
        </w:rPr>
        <w:t xml:space="preserve">point in </w:t>
      </w:r>
      <w:proofErr w:type="spellStart"/>
      <w:r w:rsidR="0004245A" w:rsidRPr="0004245A">
        <w:rPr>
          <w:i/>
          <w:sz w:val="26"/>
          <w:szCs w:val="26"/>
        </w:rPr>
        <w:t>limine</w:t>
      </w:r>
      <w:proofErr w:type="spellEnd"/>
      <w:r w:rsidR="0004245A">
        <w:rPr>
          <w:sz w:val="26"/>
          <w:szCs w:val="26"/>
        </w:rPr>
        <w:t xml:space="preserve"> to the effect that the counter</w:t>
      </w:r>
      <w:r w:rsidR="00397160">
        <w:rPr>
          <w:sz w:val="26"/>
          <w:szCs w:val="26"/>
        </w:rPr>
        <w:t>-</w:t>
      </w:r>
      <w:r w:rsidR="0004245A">
        <w:rPr>
          <w:sz w:val="26"/>
          <w:szCs w:val="26"/>
        </w:rPr>
        <w:t xml:space="preserve">claim filed by the appellant failed to disclose a cause of </w:t>
      </w:r>
      <w:r w:rsidR="0004245A">
        <w:rPr>
          <w:sz w:val="26"/>
          <w:szCs w:val="26"/>
        </w:rPr>
        <w:lastRenderedPageBreak/>
        <w:t>action.  In the counter</w:t>
      </w:r>
      <w:r w:rsidR="00397160">
        <w:rPr>
          <w:sz w:val="26"/>
          <w:szCs w:val="26"/>
        </w:rPr>
        <w:t>-</w:t>
      </w:r>
      <w:r w:rsidR="0004245A">
        <w:rPr>
          <w:sz w:val="26"/>
          <w:szCs w:val="26"/>
        </w:rPr>
        <w:t>claim, respondent contended, failed to allege negligence.</w:t>
      </w:r>
    </w:p>
    <w:p w:rsidR="00397160" w:rsidRDefault="00397160" w:rsidP="00734728">
      <w:pPr>
        <w:spacing w:line="360" w:lineRule="auto"/>
        <w:ind w:left="1440" w:hanging="1440"/>
        <w:jc w:val="both"/>
        <w:rPr>
          <w:sz w:val="26"/>
          <w:szCs w:val="26"/>
        </w:rPr>
      </w:pPr>
    </w:p>
    <w:p w:rsidR="0004245A" w:rsidRDefault="0004245A" w:rsidP="0004245A">
      <w:pPr>
        <w:tabs>
          <w:tab w:val="left" w:pos="1260"/>
        </w:tabs>
        <w:spacing w:line="360" w:lineRule="auto"/>
        <w:jc w:val="both"/>
        <w:rPr>
          <w:sz w:val="26"/>
          <w:szCs w:val="26"/>
        </w:rPr>
      </w:pPr>
      <w:r>
        <w:rPr>
          <w:sz w:val="26"/>
          <w:szCs w:val="26"/>
        </w:rPr>
        <w:t>[6]</w:t>
      </w:r>
      <w:r>
        <w:rPr>
          <w:sz w:val="26"/>
          <w:szCs w:val="26"/>
        </w:rPr>
        <w:tab/>
        <w:t>The learned Magistrate upheld the point and granted summary judgment.</w:t>
      </w:r>
    </w:p>
    <w:p w:rsidR="0004245A" w:rsidRDefault="0004245A" w:rsidP="0004245A">
      <w:pPr>
        <w:spacing w:line="360" w:lineRule="auto"/>
        <w:jc w:val="both"/>
        <w:rPr>
          <w:sz w:val="26"/>
          <w:szCs w:val="26"/>
        </w:rPr>
      </w:pPr>
    </w:p>
    <w:p w:rsidR="0004245A" w:rsidRPr="0004245A" w:rsidRDefault="0004245A" w:rsidP="0004245A">
      <w:pPr>
        <w:tabs>
          <w:tab w:val="left" w:pos="1260"/>
        </w:tabs>
        <w:spacing w:line="360" w:lineRule="auto"/>
        <w:jc w:val="both"/>
        <w:rPr>
          <w:sz w:val="26"/>
          <w:szCs w:val="26"/>
          <w:u w:val="single"/>
        </w:rPr>
      </w:pPr>
      <w:r>
        <w:rPr>
          <w:sz w:val="26"/>
          <w:szCs w:val="26"/>
        </w:rPr>
        <w:tab/>
      </w:r>
      <w:r w:rsidRPr="0004245A">
        <w:rPr>
          <w:sz w:val="26"/>
          <w:szCs w:val="26"/>
          <w:u w:val="single"/>
        </w:rPr>
        <w:t>Appeal</w:t>
      </w:r>
    </w:p>
    <w:p w:rsidR="0004245A" w:rsidRDefault="0004245A" w:rsidP="0004245A">
      <w:pPr>
        <w:spacing w:line="360" w:lineRule="auto"/>
        <w:jc w:val="both"/>
        <w:rPr>
          <w:sz w:val="26"/>
          <w:szCs w:val="26"/>
        </w:rPr>
      </w:pPr>
    </w:p>
    <w:p w:rsidR="0004245A" w:rsidRDefault="0004245A" w:rsidP="0004245A">
      <w:pPr>
        <w:tabs>
          <w:tab w:val="left" w:pos="1260"/>
        </w:tabs>
        <w:spacing w:line="360" w:lineRule="auto"/>
        <w:jc w:val="both"/>
        <w:rPr>
          <w:sz w:val="26"/>
          <w:szCs w:val="26"/>
        </w:rPr>
      </w:pPr>
      <w:r>
        <w:rPr>
          <w:sz w:val="26"/>
          <w:szCs w:val="26"/>
        </w:rPr>
        <w:t>[7]</w:t>
      </w:r>
      <w:r>
        <w:rPr>
          <w:sz w:val="26"/>
          <w:szCs w:val="26"/>
        </w:rPr>
        <w:tab/>
        <w:t>The appellant’s grounds of appeal are:</w:t>
      </w:r>
    </w:p>
    <w:p w:rsidR="00B10972" w:rsidRDefault="00B10972" w:rsidP="00B10972">
      <w:pPr>
        <w:spacing w:line="360" w:lineRule="auto"/>
        <w:jc w:val="both"/>
        <w:rPr>
          <w:sz w:val="26"/>
          <w:szCs w:val="26"/>
        </w:rPr>
      </w:pPr>
    </w:p>
    <w:p w:rsidR="00B10972" w:rsidRPr="00E417F6" w:rsidRDefault="00B10972" w:rsidP="00B10972">
      <w:pPr>
        <w:spacing w:line="360" w:lineRule="auto"/>
        <w:ind w:left="2880" w:hanging="720"/>
        <w:jc w:val="both"/>
        <w:rPr>
          <w:i/>
          <w:sz w:val="20"/>
          <w:szCs w:val="20"/>
        </w:rPr>
      </w:pPr>
      <w:r w:rsidRPr="00E417F6">
        <w:rPr>
          <w:sz w:val="20"/>
          <w:szCs w:val="20"/>
        </w:rPr>
        <w:t>“1</w:t>
      </w:r>
      <w:r w:rsidRPr="00E417F6">
        <w:rPr>
          <w:i/>
          <w:sz w:val="20"/>
          <w:szCs w:val="20"/>
        </w:rPr>
        <w:t>.</w:t>
      </w:r>
      <w:r w:rsidRPr="00E417F6">
        <w:rPr>
          <w:i/>
          <w:sz w:val="20"/>
          <w:szCs w:val="20"/>
        </w:rPr>
        <w:tab/>
        <w:t>The court a quo erred both in fact and in law by dismissing appellant’s counter-claim on the basis that negligence had not been alleged as negligence was not a necessary element of the claim.</w:t>
      </w:r>
    </w:p>
    <w:p w:rsidR="00B10972" w:rsidRPr="00E417F6" w:rsidRDefault="00B10972" w:rsidP="00B10972">
      <w:pPr>
        <w:spacing w:line="360" w:lineRule="auto"/>
        <w:ind w:left="2880" w:hanging="720"/>
        <w:jc w:val="both"/>
        <w:rPr>
          <w:i/>
          <w:sz w:val="20"/>
          <w:szCs w:val="20"/>
        </w:rPr>
      </w:pPr>
    </w:p>
    <w:p w:rsidR="00B10972" w:rsidRPr="00E417F6" w:rsidRDefault="00B10972" w:rsidP="00B10972">
      <w:pPr>
        <w:spacing w:line="360" w:lineRule="auto"/>
        <w:ind w:left="2880" w:hanging="720"/>
        <w:jc w:val="both"/>
        <w:rPr>
          <w:sz w:val="20"/>
          <w:szCs w:val="20"/>
        </w:rPr>
      </w:pPr>
      <w:r w:rsidRPr="00E417F6">
        <w:rPr>
          <w:i/>
          <w:sz w:val="20"/>
          <w:szCs w:val="20"/>
        </w:rPr>
        <w:t>2.</w:t>
      </w:r>
      <w:r w:rsidRPr="00E417F6">
        <w:rPr>
          <w:i/>
          <w:sz w:val="20"/>
          <w:szCs w:val="20"/>
        </w:rPr>
        <w:tab/>
        <w:t xml:space="preserve">The court a quo erred by entering summary judgment against appellant when he had a bona fide </w:t>
      </w:r>
      <w:proofErr w:type="spellStart"/>
      <w:r w:rsidRPr="00E417F6">
        <w:rPr>
          <w:i/>
          <w:sz w:val="20"/>
          <w:szCs w:val="20"/>
        </w:rPr>
        <w:t>defence</w:t>
      </w:r>
      <w:proofErr w:type="spellEnd"/>
      <w:r w:rsidRPr="00E417F6">
        <w:rPr>
          <w:i/>
          <w:sz w:val="20"/>
          <w:szCs w:val="20"/>
        </w:rPr>
        <w:t>.</w:t>
      </w:r>
      <w:r w:rsidRPr="00E417F6">
        <w:rPr>
          <w:sz w:val="20"/>
          <w:szCs w:val="20"/>
        </w:rPr>
        <w:t>”</w:t>
      </w:r>
    </w:p>
    <w:p w:rsidR="00B10972" w:rsidRDefault="00B10972" w:rsidP="00B10972">
      <w:pPr>
        <w:rPr>
          <w:sz w:val="20"/>
          <w:szCs w:val="20"/>
        </w:rPr>
      </w:pPr>
    </w:p>
    <w:p w:rsidR="00397160" w:rsidRPr="00E417F6" w:rsidRDefault="00397160" w:rsidP="00B10972">
      <w:pPr>
        <w:rPr>
          <w:sz w:val="20"/>
          <w:szCs w:val="20"/>
        </w:rPr>
      </w:pPr>
    </w:p>
    <w:p w:rsidR="0004245A" w:rsidRPr="0004245A" w:rsidRDefault="0004245A" w:rsidP="0004245A">
      <w:pPr>
        <w:tabs>
          <w:tab w:val="left" w:pos="1260"/>
        </w:tabs>
        <w:spacing w:line="360" w:lineRule="auto"/>
        <w:jc w:val="both"/>
        <w:rPr>
          <w:sz w:val="26"/>
          <w:szCs w:val="26"/>
          <w:u w:val="single"/>
        </w:rPr>
      </w:pPr>
      <w:r>
        <w:rPr>
          <w:sz w:val="26"/>
          <w:szCs w:val="26"/>
        </w:rPr>
        <w:tab/>
      </w:r>
      <w:r w:rsidRPr="0004245A">
        <w:rPr>
          <w:sz w:val="26"/>
          <w:szCs w:val="26"/>
          <w:u w:val="single"/>
        </w:rPr>
        <w:t>Determination</w:t>
      </w:r>
    </w:p>
    <w:p w:rsidR="0004245A" w:rsidRDefault="0004245A" w:rsidP="0004245A">
      <w:pPr>
        <w:spacing w:line="360" w:lineRule="auto"/>
        <w:jc w:val="both"/>
        <w:rPr>
          <w:sz w:val="26"/>
          <w:szCs w:val="26"/>
        </w:rPr>
      </w:pPr>
    </w:p>
    <w:p w:rsidR="0004245A" w:rsidRDefault="0004245A" w:rsidP="0004245A">
      <w:pPr>
        <w:tabs>
          <w:tab w:val="left" w:pos="1170"/>
        </w:tabs>
        <w:spacing w:line="360" w:lineRule="auto"/>
        <w:ind w:left="1170" w:hanging="1170"/>
        <w:jc w:val="both"/>
        <w:rPr>
          <w:sz w:val="26"/>
          <w:szCs w:val="26"/>
        </w:rPr>
      </w:pPr>
      <w:r>
        <w:rPr>
          <w:sz w:val="26"/>
          <w:szCs w:val="26"/>
        </w:rPr>
        <w:t>[8]</w:t>
      </w:r>
      <w:r>
        <w:rPr>
          <w:sz w:val="26"/>
          <w:szCs w:val="26"/>
        </w:rPr>
        <w:tab/>
        <w:t>The appellant submits that it is unnecessary to allege negligence as his cause of action is based on paragraph 4 of the counter-claim.  Paragraph 4 reads:</w:t>
      </w:r>
    </w:p>
    <w:p w:rsidR="0004245A" w:rsidRDefault="0004245A" w:rsidP="0004245A">
      <w:pPr>
        <w:tabs>
          <w:tab w:val="left" w:pos="1170"/>
        </w:tabs>
        <w:spacing w:line="360" w:lineRule="auto"/>
        <w:ind w:left="1170" w:hanging="1170"/>
        <w:jc w:val="both"/>
        <w:rPr>
          <w:sz w:val="26"/>
          <w:szCs w:val="26"/>
        </w:rPr>
      </w:pPr>
    </w:p>
    <w:p w:rsidR="00B10972" w:rsidRPr="00E417F6" w:rsidRDefault="00B10972" w:rsidP="00D35C5E">
      <w:pPr>
        <w:tabs>
          <w:tab w:val="left" w:pos="1260"/>
        </w:tabs>
        <w:spacing w:line="360" w:lineRule="auto"/>
        <w:ind w:left="2880" w:hanging="720"/>
        <w:jc w:val="both"/>
        <w:rPr>
          <w:i/>
          <w:sz w:val="20"/>
          <w:szCs w:val="20"/>
        </w:rPr>
      </w:pPr>
      <w:r w:rsidRPr="00E417F6">
        <w:rPr>
          <w:sz w:val="20"/>
          <w:szCs w:val="20"/>
        </w:rPr>
        <w:t>“</w:t>
      </w:r>
      <w:r w:rsidRPr="00E417F6">
        <w:rPr>
          <w:i/>
          <w:sz w:val="20"/>
          <w:szCs w:val="20"/>
        </w:rPr>
        <w:t>4.</w:t>
      </w:r>
      <w:r w:rsidRPr="00E417F6">
        <w:rPr>
          <w:i/>
          <w:sz w:val="20"/>
          <w:szCs w:val="20"/>
        </w:rPr>
        <w:tab/>
        <w:t>Defend</w:t>
      </w:r>
      <w:r w:rsidR="006D6FC6" w:rsidRPr="00E417F6">
        <w:rPr>
          <w:i/>
          <w:sz w:val="20"/>
          <w:szCs w:val="20"/>
        </w:rPr>
        <w:t>ant alleges that on or about the 17</w:t>
      </w:r>
      <w:r w:rsidR="006D6FC6" w:rsidRPr="00E417F6">
        <w:rPr>
          <w:i/>
          <w:sz w:val="20"/>
          <w:szCs w:val="20"/>
          <w:vertAlign w:val="superscript"/>
        </w:rPr>
        <w:t>th</w:t>
      </w:r>
      <w:r w:rsidR="006D6FC6" w:rsidRPr="00E417F6">
        <w:rPr>
          <w:i/>
          <w:sz w:val="20"/>
          <w:szCs w:val="20"/>
        </w:rPr>
        <w:t xml:space="preserve"> of October 2012, Plaintiff unlawfully repossessed from him a motor vehicle more fully described as:</w:t>
      </w:r>
    </w:p>
    <w:p w:rsidR="00D35C5E" w:rsidRPr="00E417F6" w:rsidRDefault="006D6FC6" w:rsidP="006D6FC6">
      <w:pPr>
        <w:tabs>
          <w:tab w:val="left" w:pos="1170"/>
        </w:tabs>
        <w:spacing w:line="360" w:lineRule="auto"/>
        <w:ind w:left="2070" w:hanging="2880"/>
        <w:jc w:val="both"/>
        <w:rPr>
          <w:i/>
          <w:sz w:val="20"/>
          <w:szCs w:val="20"/>
        </w:rPr>
      </w:pPr>
      <w:r w:rsidRPr="00E417F6">
        <w:rPr>
          <w:i/>
          <w:sz w:val="20"/>
          <w:szCs w:val="20"/>
        </w:rPr>
        <w:tab/>
      </w:r>
      <w:r w:rsidRPr="00E417F6">
        <w:rPr>
          <w:i/>
          <w:sz w:val="20"/>
          <w:szCs w:val="20"/>
        </w:rPr>
        <w:tab/>
      </w:r>
      <w:r w:rsidR="00D35C5E" w:rsidRPr="00E417F6">
        <w:rPr>
          <w:i/>
          <w:sz w:val="20"/>
          <w:szCs w:val="20"/>
        </w:rPr>
        <w:tab/>
      </w:r>
      <w:r w:rsidR="00D35C5E" w:rsidRPr="00E417F6">
        <w:rPr>
          <w:i/>
          <w:sz w:val="20"/>
          <w:szCs w:val="20"/>
        </w:rPr>
        <w:tab/>
      </w:r>
    </w:p>
    <w:p w:rsidR="006D6FC6" w:rsidRPr="00E417F6" w:rsidRDefault="00D35C5E" w:rsidP="006D6FC6">
      <w:pPr>
        <w:tabs>
          <w:tab w:val="left" w:pos="1170"/>
        </w:tabs>
        <w:spacing w:line="360" w:lineRule="auto"/>
        <w:ind w:left="2070" w:hanging="2880"/>
        <w:jc w:val="both"/>
        <w:rPr>
          <w:i/>
          <w:sz w:val="20"/>
          <w:szCs w:val="20"/>
        </w:rPr>
      </w:pPr>
      <w:r w:rsidRPr="00E417F6">
        <w:rPr>
          <w:i/>
          <w:sz w:val="20"/>
          <w:szCs w:val="20"/>
        </w:rPr>
        <w:tab/>
      </w:r>
      <w:r w:rsidRPr="00E417F6">
        <w:rPr>
          <w:i/>
          <w:sz w:val="20"/>
          <w:szCs w:val="20"/>
        </w:rPr>
        <w:tab/>
      </w:r>
      <w:r w:rsidRPr="00E417F6">
        <w:rPr>
          <w:i/>
          <w:sz w:val="20"/>
          <w:szCs w:val="20"/>
        </w:rPr>
        <w:tab/>
      </w:r>
      <w:r w:rsidRPr="00E417F6">
        <w:rPr>
          <w:i/>
          <w:sz w:val="20"/>
          <w:szCs w:val="20"/>
        </w:rPr>
        <w:tab/>
      </w:r>
      <w:r w:rsidR="006D6FC6" w:rsidRPr="00E417F6">
        <w:rPr>
          <w:i/>
          <w:sz w:val="20"/>
          <w:szCs w:val="20"/>
        </w:rPr>
        <w:t xml:space="preserve">TOYOTA </w:t>
      </w:r>
    </w:p>
    <w:p w:rsidR="006D6FC6" w:rsidRPr="00E417F6" w:rsidRDefault="006D6FC6" w:rsidP="006D6FC6">
      <w:pPr>
        <w:tabs>
          <w:tab w:val="left" w:pos="1170"/>
        </w:tabs>
        <w:spacing w:line="360" w:lineRule="auto"/>
        <w:ind w:left="2070" w:hanging="2880"/>
        <w:jc w:val="both"/>
        <w:rPr>
          <w:i/>
          <w:sz w:val="20"/>
          <w:szCs w:val="20"/>
        </w:rPr>
      </w:pPr>
      <w:r w:rsidRPr="00E417F6">
        <w:rPr>
          <w:i/>
          <w:sz w:val="20"/>
          <w:szCs w:val="20"/>
        </w:rPr>
        <w:tab/>
      </w:r>
      <w:r w:rsidRPr="00E417F6">
        <w:rPr>
          <w:i/>
          <w:sz w:val="20"/>
          <w:szCs w:val="20"/>
        </w:rPr>
        <w:tab/>
      </w:r>
      <w:r w:rsidR="00D35C5E" w:rsidRPr="00E417F6">
        <w:rPr>
          <w:i/>
          <w:sz w:val="20"/>
          <w:szCs w:val="20"/>
        </w:rPr>
        <w:tab/>
      </w:r>
      <w:r w:rsidR="00D35C5E" w:rsidRPr="00E417F6">
        <w:rPr>
          <w:i/>
          <w:sz w:val="20"/>
          <w:szCs w:val="20"/>
        </w:rPr>
        <w:tab/>
      </w:r>
      <w:r w:rsidRPr="00E417F6">
        <w:rPr>
          <w:i/>
          <w:sz w:val="20"/>
          <w:szCs w:val="20"/>
        </w:rPr>
        <w:t>1992 MODEL</w:t>
      </w:r>
    </w:p>
    <w:p w:rsidR="006D6FC6" w:rsidRPr="00E417F6" w:rsidRDefault="006D6FC6" w:rsidP="006D6FC6">
      <w:pPr>
        <w:tabs>
          <w:tab w:val="left" w:pos="1170"/>
        </w:tabs>
        <w:spacing w:line="360" w:lineRule="auto"/>
        <w:ind w:left="2070" w:hanging="2880"/>
        <w:jc w:val="both"/>
        <w:rPr>
          <w:i/>
          <w:sz w:val="20"/>
          <w:szCs w:val="20"/>
        </w:rPr>
      </w:pPr>
      <w:r w:rsidRPr="00E417F6">
        <w:rPr>
          <w:i/>
          <w:sz w:val="20"/>
          <w:szCs w:val="20"/>
        </w:rPr>
        <w:tab/>
      </w:r>
      <w:r w:rsidRPr="00E417F6">
        <w:rPr>
          <w:i/>
          <w:sz w:val="20"/>
          <w:szCs w:val="20"/>
        </w:rPr>
        <w:tab/>
      </w:r>
      <w:r w:rsidR="00D35C5E" w:rsidRPr="00E417F6">
        <w:rPr>
          <w:i/>
          <w:sz w:val="20"/>
          <w:szCs w:val="20"/>
        </w:rPr>
        <w:tab/>
      </w:r>
      <w:r w:rsidR="00D35C5E" w:rsidRPr="00E417F6">
        <w:rPr>
          <w:i/>
          <w:sz w:val="20"/>
          <w:szCs w:val="20"/>
        </w:rPr>
        <w:tab/>
      </w:r>
      <w:r w:rsidRPr="00E417F6">
        <w:rPr>
          <w:i/>
          <w:sz w:val="20"/>
          <w:szCs w:val="20"/>
        </w:rPr>
        <w:t>1790 WEIGHT</w:t>
      </w:r>
    </w:p>
    <w:p w:rsidR="006D6FC6" w:rsidRPr="00E417F6" w:rsidRDefault="006D6FC6" w:rsidP="006D6FC6">
      <w:pPr>
        <w:tabs>
          <w:tab w:val="left" w:pos="1170"/>
        </w:tabs>
        <w:spacing w:line="360" w:lineRule="auto"/>
        <w:ind w:left="2070" w:hanging="2880"/>
        <w:jc w:val="both"/>
        <w:rPr>
          <w:i/>
          <w:sz w:val="20"/>
          <w:szCs w:val="20"/>
        </w:rPr>
      </w:pPr>
      <w:r w:rsidRPr="00E417F6">
        <w:rPr>
          <w:i/>
          <w:sz w:val="20"/>
          <w:szCs w:val="20"/>
        </w:rPr>
        <w:tab/>
      </w:r>
      <w:r w:rsidRPr="00E417F6">
        <w:rPr>
          <w:i/>
          <w:sz w:val="20"/>
          <w:szCs w:val="20"/>
        </w:rPr>
        <w:tab/>
      </w:r>
      <w:r w:rsidR="00D35C5E" w:rsidRPr="00E417F6">
        <w:rPr>
          <w:i/>
          <w:sz w:val="20"/>
          <w:szCs w:val="20"/>
        </w:rPr>
        <w:tab/>
      </w:r>
      <w:r w:rsidR="00D35C5E" w:rsidRPr="00E417F6">
        <w:rPr>
          <w:i/>
          <w:sz w:val="20"/>
          <w:szCs w:val="20"/>
        </w:rPr>
        <w:tab/>
      </w:r>
      <w:r w:rsidRPr="00E417F6">
        <w:rPr>
          <w:i/>
          <w:sz w:val="20"/>
          <w:szCs w:val="20"/>
        </w:rPr>
        <w:t>4Y9104594 ENGINE NUMBER”</w:t>
      </w:r>
    </w:p>
    <w:p w:rsidR="006D6FC6" w:rsidRDefault="006D6FC6" w:rsidP="006D6FC6">
      <w:pPr>
        <w:tabs>
          <w:tab w:val="left" w:pos="1170"/>
        </w:tabs>
        <w:spacing w:line="360" w:lineRule="auto"/>
        <w:ind w:left="2070" w:hanging="2880"/>
        <w:jc w:val="both"/>
        <w:rPr>
          <w:sz w:val="26"/>
          <w:szCs w:val="26"/>
        </w:rPr>
      </w:pPr>
      <w:r>
        <w:rPr>
          <w:sz w:val="26"/>
          <w:szCs w:val="26"/>
        </w:rPr>
        <w:tab/>
      </w:r>
      <w:r>
        <w:rPr>
          <w:sz w:val="26"/>
          <w:szCs w:val="26"/>
        </w:rPr>
        <w:tab/>
      </w:r>
    </w:p>
    <w:p w:rsidR="0004245A" w:rsidRDefault="00B10972" w:rsidP="005D097C">
      <w:pPr>
        <w:tabs>
          <w:tab w:val="left" w:pos="1170"/>
        </w:tabs>
        <w:spacing w:line="360" w:lineRule="auto"/>
        <w:ind w:left="1170" w:hanging="1170"/>
        <w:jc w:val="both"/>
      </w:pPr>
      <w:r>
        <w:t xml:space="preserve"> </w:t>
      </w:r>
      <w:r w:rsidR="0004245A">
        <w:t>[9]</w:t>
      </w:r>
      <w:r w:rsidR="0004245A">
        <w:tab/>
      </w:r>
      <w:r w:rsidR="0004245A" w:rsidRPr="0004245A">
        <w:rPr>
          <w:sz w:val="26"/>
          <w:szCs w:val="26"/>
        </w:rPr>
        <w:t>I do not intend to venture into the debate as to whether applicant ought to have alleged</w:t>
      </w:r>
      <w:r w:rsidR="0004245A">
        <w:t xml:space="preserve"> negligence or not.  However, it is my considered view that the appropriate order which </w:t>
      </w:r>
      <w:r w:rsidR="005D097C">
        <w:t>ought to have been entered by the</w:t>
      </w:r>
      <w:r w:rsidR="00C9347C">
        <w:t xml:space="preserve"> learned</w:t>
      </w:r>
      <w:r w:rsidR="005D097C">
        <w:t xml:space="preserve"> Magistrate following his </w:t>
      </w:r>
      <w:r w:rsidR="005D097C">
        <w:lastRenderedPageBreak/>
        <w:t>opinion that negligence ought to have been alleged would have been to grant the appellant an opportunity to amend his counter-claim with an appropriate</w:t>
      </w:r>
      <w:r w:rsidR="00E417F6">
        <w:t xml:space="preserve"> order as to cost </w:t>
      </w:r>
      <w:r w:rsidR="005D097C">
        <w:t>rather than dismissing it.  I say this because appellant at paragraph 4.5 of the counter-claim states:</w:t>
      </w:r>
    </w:p>
    <w:p w:rsidR="005D097C" w:rsidRDefault="005D097C" w:rsidP="005D097C">
      <w:pPr>
        <w:tabs>
          <w:tab w:val="left" w:pos="1170"/>
        </w:tabs>
        <w:spacing w:line="360" w:lineRule="auto"/>
        <w:ind w:left="1170" w:hanging="1170"/>
        <w:jc w:val="both"/>
      </w:pPr>
    </w:p>
    <w:p w:rsidR="005D097C" w:rsidRPr="00E417F6" w:rsidRDefault="006D6FC6" w:rsidP="00F210F5">
      <w:pPr>
        <w:tabs>
          <w:tab w:val="left" w:pos="2160"/>
        </w:tabs>
        <w:spacing w:line="360" w:lineRule="auto"/>
        <w:ind w:left="2880" w:hanging="2790"/>
        <w:jc w:val="both"/>
        <w:rPr>
          <w:sz w:val="22"/>
          <w:szCs w:val="22"/>
        </w:rPr>
      </w:pPr>
      <w:r>
        <w:rPr>
          <w:sz w:val="26"/>
          <w:szCs w:val="26"/>
        </w:rPr>
        <w:tab/>
      </w:r>
      <w:r w:rsidR="005D097C" w:rsidRPr="00E417F6">
        <w:rPr>
          <w:sz w:val="22"/>
          <w:szCs w:val="22"/>
        </w:rPr>
        <w:t>“</w:t>
      </w:r>
      <w:r w:rsidRPr="00E417F6">
        <w:rPr>
          <w:i/>
          <w:sz w:val="22"/>
          <w:szCs w:val="22"/>
        </w:rPr>
        <w:t>4.5</w:t>
      </w:r>
      <w:r w:rsidRPr="00E417F6">
        <w:rPr>
          <w:i/>
          <w:sz w:val="22"/>
          <w:szCs w:val="22"/>
        </w:rPr>
        <w:tab/>
        <w:t>Defendant alleges that as a result of the aforementioned it sustained damages in the amount of E10</w:t>
      </w:r>
      <w:proofErr w:type="gramStart"/>
      <w:r w:rsidRPr="00E417F6">
        <w:rPr>
          <w:i/>
          <w:sz w:val="22"/>
          <w:szCs w:val="22"/>
        </w:rPr>
        <w:t>,000.00</w:t>
      </w:r>
      <w:proofErr w:type="gramEnd"/>
      <w:r w:rsidRPr="00E417F6">
        <w:rPr>
          <w:i/>
          <w:sz w:val="22"/>
          <w:szCs w:val="22"/>
        </w:rPr>
        <w:t xml:space="preserve"> (Ten Thousand Emalangeni) being in respect of loss of business.”</w:t>
      </w:r>
      <w:r w:rsidR="005D097C" w:rsidRPr="00E417F6">
        <w:rPr>
          <w:sz w:val="22"/>
          <w:szCs w:val="22"/>
        </w:rPr>
        <w:t xml:space="preserve"> </w:t>
      </w:r>
    </w:p>
    <w:p w:rsidR="005D097C" w:rsidRDefault="005D097C" w:rsidP="005D097C">
      <w:pPr>
        <w:tabs>
          <w:tab w:val="left" w:pos="1170"/>
        </w:tabs>
        <w:spacing w:line="360" w:lineRule="auto"/>
        <w:ind w:left="1170" w:hanging="1170"/>
        <w:jc w:val="both"/>
      </w:pPr>
    </w:p>
    <w:p w:rsidR="005D097C" w:rsidRDefault="005D097C" w:rsidP="005D097C">
      <w:pPr>
        <w:tabs>
          <w:tab w:val="left" w:pos="1170"/>
        </w:tabs>
        <w:spacing w:line="360" w:lineRule="auto"/>
        <w:ind w:left="1170" w:hanging="1170"/>
        <w:jc w:val="both"/>
      </w:pPr>
      <w:r>
        <w:t>[10]</w:t>
      </w:r>
      <w:r>
        <w:tab/>
        <w:t xml:space="preserve">Reading appellant’s paragraph 4 together with paragraph 4.5 cannot be said that appellant does not inform the other party with clear particularities the ground </w:t>
      </w:r>
      <w:r w:rsidR="00D35C5E">
        <w:t>o</w:t>
      </w:r>
      <w:r>
        <w:t xml:space="preserve">f his case.  It is only in cases where one having considered the pleading, would conclude that the party instituting proceedings or defending a matter has dismally failed to disclose its cause of action or </w:t>
      </w:r>
      <w:proofErr w:type="spellStart"/>
      <w:r>
        <w:t>defence</w:t>
      </w:r>
      <w:proofErr w:type="spellEnd"/>
      <w:r>
        <w:t xml:space="preserve"> as the case may be, that a dismissal is warranted.  </w:t>
      </w:r>
      <w:r w:rsidR="00E417F6">
        <w:t xml:space="preserve">The action must be devoid or manifestly lacking in </w:t>
      </w:r>
      <w:proofErr w:type="spellStart"/>
      <w:proofErr w:type="gramStart"/>
      <w:r w:rsidR="00E417F6" w:rsidRPr="00E417F6">
        <w:rPr>
          <w:i/>
        </w:rPr>
        <w:t>causa</w:t>
      </w:r>
      <w:proofErr w:type="spellEnd"/>
      <w:r w:rsidR="00E417F6">
        <w:rPr>
          <w:i/>
        </w:rPr>
        <w:t xml:space="preserve"> </w:t>
      </w:r>
      <w:r w:rsidR="00E417F6">
        <w:t xml:space="preserve"> for</w:t>
      </w:r>
      <w:proofErr w:type="gramEnd"/>
      <w:r w:rsidR="00E417F6">
        <w:t xml:space="preserve"> it to be dismissed.  </w:t>
      </w:r>
      <w:r>
        <w:t xml:space="preserve">The </w:t>
      </w:r>
      <w:r w:rsidRPr="0028756B">
        <w:rPr>
          <w:i/>
        </w:rPr>
        <w:t>dictum</w:t>
      </w:r>
      <w:r>
        <w:t xml:space="preserve"> </w:t>
      </w:r>
      <w:r w:rsidR="008B7430">
        <w:t xml:space="preserve">in </w:t>
      </w:r>
      <w:r w:rsidR="008B7430" w:rsidRPr="0028756B">
        <w:rPr>
          <w:b/>
        </w:rPr>
        <w:t xml:space="preserve">Shell Oil Swaziland (Pty) Ltd v Motor World (Pty) Ltd t/a Sir Motors [2006] SZSC 11 </w:t>
      </w:r>
      <w:r w:rsidR="008B7430">
        <w:t>has since become a principle of law in our jurisdiction.  Their Lordships at page 23 paragraph 39 propounded:</w:t>
      </w:r>
    </w:p>
    <w:p w:rsidR="008B7430" w:rsidRDefault="008B7430" w:rsidP="005D097C">
      <w:pPr>
        <w:tabs>
          <w:tab w:val="left" w:pos="1170"/>
        </w:tabs>
        <w:spacing w:line="360" w:lineRule="auto"/>
        <w:ind w:left="1170" w:hanging="1170"/>
        <w:jc w:val="both"/>
      </w:pPr>
    </w:p>
    <w:p w:rsidR="008B7430" w:rsidRPr="00B262CE" w:rsidRDefault="008B7430" w:rsidP="0057108D">
      <w:pPr>
        <w:tabs>
          <w:tab w:val="left" w:pos="1170"/>
        </w:tabs>
        <w:spacing w:line="360" w:lineRule="auto"/>
        <w:ind w:left="2250" w:hanging="90"/>
        <w:jc w:val="both"/>
        <w:rPr>
          <w:sz w:val="22"/>
          <w:szCs w:val="22"/>
        </w:rPr>
      </w:pPr>
      <w:r w:rsidRPr="00E417F6">
        <w:rPr>
          <w:sz w:val="22"/>
          <w:szCs w:val="22"/>
        </w:rPr>
        <w:t>“</w:t>
      </w:r>
      <w:r w:rsidRPr="00E417F6">
        <w:rPr>
          <w:i/>
          <w:sz w:val="22"/>
          <w:szCs w:val="22"/>
        </w:rPr>
        <w:t xml:space="preserve">The learned Judge a quo with respect, </w:t>
      </w:r>
      <w:r w:rsidR="0057108D" w:rsidRPr="00E417F6">
        <w:rPr>
          <w:i/>
          <w:sz w:val="22"/>
          <w:szCs w:val="22"/>
        </w:rPr>
        <w:t xml:space="preserve">also appears to have overlooked </w:t>
      </w:r>
      <w:r w:rsidRPr="00E417F6">
        <w:rPr>
          <w:i/>
          <w:sz w:val="22"/>
          <w:szCs w:val="22"/>
        </w:rPr>
        <w:t xml:space="preserve">the current trend in matters of this sort, which is now well </w:t>
      </w:r>
      <w:proofErr w:type="spellStart"/>
      <w:r w:rsidRPr="00E417F6">
        <w:rPr>
          <w:i/>
          <w:sz w:val="22"/>
          <w:szCs w:val="22"/>
        </w:rPr>
        <w:t>recognised</w:t>
      </w:r>
      <w:proofErr w:type="spellEnd"/>
      <w:r w:rsidRPr="00E417F6">
        <w:rPr>
          <w:i/>
          <w:sz w:val="22"/>
          <w:szCs w:val="22"/>
        </w:rPr>
        <w:t xml:space="preserve"> and firmly established, viz. not to allow technical objections to less than perfect procedural aspect to interfere </w:t>
      </w:r>
      <w:r w:rsidRPr="00B262CE">
        <w:rPr>
          <w:i/>
          <w:sz w:val="22"/>
          <w:szCs w:val="22"/>
          <w:u w:val="single"/>
        </w:rPr>
        <w:t>in the expeditious and, if possible, inexpensive decisions of cases on their real merits</w:t>
      </w:r>
      <w:r w:rsidRPr="00B262CE">
        <w:rPr>
          <w:sz w:val="22"/>
          <w:szCs w:val="22"/>
        </w:rPr>
        <w:t>”</w:t>
      </w:r>
      <w:r w:rsidR="00B262CE" w:rsidRPr="00B262CE">
        <w:rPr>
          <w:sz w:val="22"/>
          <w:szCs w:val="22"/>
        </w:rPr>
        <w:t>(underlining my emphasis)</w:t>
      </w:r>
    </w:p>
    <w:p w:rsidR="008B7430" w:rsidRDefault="008B7430" w:rsidP="008B7430">
      <w:pPr>
        <w:tabs>
          <w:tab w:val="left" w:pos="1170"/>
        </w:tabs>
        <w:spacing w:line="360" w:lineRule="auto"/>
        <w:jc w:val="both"/>
      </w:pPr>
    </w:p>
    <w:p w:rsidR="008B7430" w:rsidRDefault="008B7430" w:rsidP="008B7430">
      <w:pPr>
        <w:tabs>
          <w:tab w:val="left" w:pos="1170"/>
        </w:tabs>
        <w:spacing w:line="360" w:lineRule="auto"/>
        <w:ind w:left="1170" w:hanging="1170"/>
        <w:jc w:val="both"/>
      </w:pPr>
      <w:r>
        <w:t>[11]</w:t>
      </w:r>
      <w:r>
        <w:tab/>
        <w:t xml:space="preserve">Their Lordships then cited the case of </w:t>
      </w:r>
      <w:r w:rsidRPr="008B7430">
        <w:rPr>
          <w:b/>
        </w:rPr>
        <w:t>Nelson Mandela Metropolitan M</w:t>
      </w:r>
      <w:r w:rsidR="00B262CE">
        <w:rPr>
          <w:b/>
        </w:rPr>
        <w:t>u</w:t>
      </w:r>
      <w:r w:rsidRPr="008B7430">
        <w:rPr>
          <w:b/>
        </w:rPr>
        <w:t xml:space="preserve">nicipality and Others v </w:t>
      </w:r>
      <w:proofErr w:type="spellStart"/>
      <w:r w:rsidRPr="008B7430">
        <w:rPr>
          <w:b/>
        </w:rPr>
        <w:t>Greyvenouw</w:t>
      </w:r>
      <w:proofErr w:type="spellEnd"/>
      <w:r w:rsidRPr="008B7430">
        <w:rPr>
          <w:b/>
        </w:rPr>
        <w:t xml:space="preserve"> CC and Others 2004 (2) S.A. 81</w:t>
      </w:r>
      <w:r>
        <w:t xml:space="preserve"> at 95F-96A as follows:</w:t>
      </w:r>
    </w:p>
    <w:p w:rsidR="0028756B" w:rsidRDefault="0028756B" w:rsidP="008B7430">
      <w:pPr>
        <w:tabs>
          <w:tab w:val="left" w:pos="1170"/>
        </w:tabs>
        <w:spacing w:line="360" w:lineRule="auto"/>
        <w:ind w:left="1170" w:hanging="1170"/>
        <w:jc w:val="both"/>
      </w:pPr>
    </w:p>
    <w:p w:rsidR="0028756B" w:rsidRDefault="0057108D" w:rsidP="0057108D">
      <w:pPr>
        <w:tabs>
          <w:tab w:val="left" w:pos="1170"/>
        </w:tabs>
        <w:spacing w:line="360" w:lineRule="auto"/>
        <w:ind w:left="2160" w:hanging="1170"/>
        <w:jc w:val="both"/>
      </w:pPr>
      <w:r>
        <w:tab/>
      </w:r>
      <w:r w:rsidR="0028756B">
        <w:tab/>
        <w:t>“</w:t>
      </w:r>
      <w:r w:rsidRPr="0057108D">
        <w:rPr>
          <w:i/>
        </w:rPr>
        <w:t>The Court should eschew technical and turn its back on inflexible formalism in order to secure the expeditious decisions of matter on their real merits, so avoiding the incurrence of unnecessary delays and costs</w:t>
      </w:r>
      <w:r>
        <w:t>.”</w:t>
      </w:r>
    </w:p>
    <w:p w:rsidR="0028756B" w:rsidRDefault="0028756B" w:rsidP="008B7430">
      <w:pPr>
        <w:tabs>
          <w:tab w:val="left" w:pos="1170"/>
        </w:tabs>
        <w:spacing w:line="360" w:lineRule="auto"/>
        <w:ind w:left="1170" w:hanging="1170"/>
        <w:jc w:val="both"/>
      </w:pPr>
    </w:p>
    <w:p w:rsidR="0028756B" w:rsidRDefault="0028756B" w:rsidP="008B7430">
      <w:pPr>
        <w:tabs>
          <w:tab w:val="left" w:pos="1170"/>
        </w:tabs>
        <w:spacing w:line="360" w:lineRule="auto"/>
        <w:ind w:left="1170" w:hanging="1170"/>
        <w:jc w:val="both"/>
      </w:pPr>
      <w:r>
        <w:t>[12]</w:t>
      </w:r>
      <w:r>
        <w:tab/>
        <w:t>To throw</w:t>
      </w:r>
      <w:r w:rsidR="0057108D">
        <w:t>,</w:t>
      </w:r>
      <w:r>
        <w:t xml:space="preserve"> as we often say</w:t>
      </w:r>
      <w:r w:rsidR="0057108D">
        <w:t>,</w:t>
      </w:r>
      <w:r>
        <w:t xml:space="preserve"> “</w:t>
      </w:r>
      <w:r w:rsidRPr="0028756B">
        <w:rPr>
          <w:i/>
        </w:rPr>
        <w:t>root and branch</w:t>
      </w:r>
      <w:r>
        <w:t>” the counter-claim without interrogating its merit on the basis that negligence was not alleged, was a travesty of justice.</w:t>
      </w:r>
    </w:p>
    <w:p w:rsidR="0057108D" w:rsidRDefault="0057108D" w:rsidP="008B7430">
      <w:pPr>
        <w:tabs>
          <w:tab w:val="left" w:pos="1170"/>
        </w:tabs>
        <w:spacing w:line="360" w:lineRule="auto"/>
        <w:ind w:left="1170" w:hanging="1170"/>
        <w:jc w:val="both"/>
      </w:pPr>
    </w:p>
    <w:p w:rsidR="0028756B" w:rsidRDefault="0028756B" w:rsidP="008B7430">
      <w:pPr>
        <w:tabs>
          <w:tab w:val="left" w:pos="1170"/>
        </w:tabs>
        <w:spacing w:line="360" w:lineRule="auto"/>
        <w:ind w:left="1170" w:hanging="1170"/>
        <w:jc w:val="both"/>
      </w:pPr>
      <w:r>
        <w:t>[13]</w:t>
      </w:r>
      <w:r>
        <w:tab/>
        <w:t xml:space="preserve">To ensure that justice is not only done but manifestly seen to be done, the </w:t>
      </w:r>
      <w:r w:rsidRPr="0028756B">
        <w:rPr>
          <w:i/>
        </w:rPr>
        <w:t>court a quo</w:t>
      </w:r>
      <w:r>
        <w:t xml:space="preserve"> ought to have postponed the matter to allow the appellant to amend his counter-claim with an appropriate order as to costs.  On the return date, the matter would have been deliberated on merit.</w:t>
      </w:r>
    </w:p>
    <w:p w:rsidR="0028756B" w:rsidRDefault="0028756B" w:rsidP="008B7430">
      <w:pPr>
        <w:tabs>
          <w:tab w:val="left" w:pos="1170"/>
        </w:tabs>
        <w:spacing w:line="360" w:lineRule="auto"/>
        <w:ind w:left="1170" w:hanging="1170"/>
        <w:jc w:val="both"/>
      </w:pPr>
    </w:p>
    <w:p w:rsidR="0028756B" w:rsidRDefault="0028756B" w:rsidP="008B7430">
      <w:pPr>
        <w:tabs>
          <w:tab w:val="left" w:pos="1170"/>
        </w:tabs>
        <w:spacing w:line="360" w:lineRule="auto"/>
        <w:ind w:left="1170" w:hanging="1170"/>
        <w:jc w:val="both"/>
      </w:pPr>
      <w:r>
        <w:t>[14]</w:t>
      </w:r>
      <w:r>
        <w:tab/>
        <w:t xml:space="preserve">It is on the basis of the above that when the matter first appeared before me, I postponed the matter and ordered both </w:t>
      </w:r>
      <w:proofErr w:type="gramStart"/>
      <w:r>
        <w:t>Counsel</w:t>
      </w:r>
      <w:proofErr w:type="gramEnd"/>
      <w:r>
        <w:t xml:space="preserve"> to address me on whether there was a </w:t>
      </w:r>
      <w:r w:rsidRPr="00D83F87">
        <w:rPr>
          <w:i/>
        </w:rPr>
        <w:t>bona fide</w:t>
      </w:r>
      <w:r>
        <w:t xml:space="preserve"> </w:t>
      </w:r>
      <w:proofErr w:type="spellStart"/>
      <w:r>
        <w:t>defence</w:t>
      </w:r>
      <w:proofErr w:type="spellEnd"/>
      <w:r>
        <w:t xml:space="preserve"> raising a </w:t>
      </w:r>
      <w:proofErr w:type="spellStart"/>
      <w:r>
        <w:t>triable</w:t>
      </w:r>
      <w:proofErr w:type="spellEnd"/>
      <w:r>
        <w:t xml:space="preserve"> issue.  I was not inclined to refer the matter back to the </w:t>
      </w:r>
      <w:r w:rsidRPr="0028756B">
        <w:rPr>
          <w:i/>
        </w:rPr>
        <w:t>court a quo</w:t>
      </w:r>
      <w:r>
        <w:t xml:space="preserve"> as that would have </w:t>
      </w:r>
      <w:r w:rsidR="00D83F87">
        <w:t>delayed the matter and increased unnecessary costs.</w:t>
      </w:r>
    </w:p>
    <w:p w:rsidR="00D83F87" w:rsidRDefault="00D83F87" w:rsidP="008B7430">
      <w:pPr>
        <w:tabs>
          <w:tab w:val="left" w:pos="1170"/>
        </w:tabs>
        <w:spacing w:line="360" w:lineRule="auto"/>
        <w:ind w:left="1170" w:hanging="1170"/>
        <w:jc w:val="both"/>
      </w:pPr>
    </w:p>
    <w:p w:rsidR="00D83F87" w:rsidRDefault="00D83F87" w:rsidP="008B7430">
      <w:pPr>
        <w:tabs>
          <w:tab w:val="left" w:pos="1170"/>
        </w:tabs>
        <w:spacing w:line="360" w:lineRule="auto"/>
        <w:ind w:left="1170" w:hanging="1170"/>
        <w:jc w:val="both"/>
      </w:pPr>
      <w:r>
        <w:t>[15]</w:t>
      </w:r>
      <w:r>
        <w:tab/>
        <w:t xml:space="preserve">One of the requirements of resisting a summary judgment application is for the party to establish a </w:t>
      </w:r>
      <w:r w:rsidRPr="00D83F87">
        <w:rPr>
          <w:i/>
        </w:rPr>
        <w:t>bona fide</w:t>
      </w:r>
      <w:r>
        <w:t xml:space="preserve"> </w:t>
      </w:r>
      <w:proofErr w:type="spellStart"/>
      <w:r>
        <w:t>defence</w:t>
      </w:r>
      <w:proofErr w:type="spellEnd"/>
      <w:r>
        <w:t>.</w:t>
      </w:r>
    </w:p>
    <w:p w:rsidR="00D83F87" w:rsidRDefault="00D83F87" w:rsidP="008B7430">
      <w:pPr>
        <w:tabs>
          <w:tab w:val="left" w:pos="1170"/>
        </w:tabs>
        <w:spacing w:line="360" w:lineRule="auto"/>
        <w:ind w:left="1170" w:hanging="1170"/>
        <w:jc w:val="both"/>
      </w:pPr>
    </w:p>
    <w:p w:rsidR="00D83F87" w:rsidRDefault="00D83F87" w:rsidP="008B7430">
      <w:pPr>
        <w:tabs>
          <w:tab w:val="left" w:pos="1170"/>
        </w:tabs>
        <w:spacing w:line="360" w:lineRule="auto"/>
        <w:ind w:left="1170" w:hanging="1170"/>
        <w:jc w:val="both"/>
        <w:rPr>
          <w:i/>
        </w:rPr>
      </w:pPr>
      <w:r>
        <w:t>[16]</w:t>
      </w:r>
      <w:r>
        <w:tab/>
      </w:r>
      <w:r w:rsidRPr="005F3A61">
        <w:rPr>
          <w:b/>
        </w:rPr>
        <w:t>Swaziland Industrial Agencies (Pty) Ltd t/a Builders Discount Centre v S.I.G. Investments (Pty) Ltd (619/08) [2012] SZHC</w:t>
      </w:r>
      <w:r>
        <w:rPr>
          <w:i/>
        </w:rPr>
        <w:t xml:space="preserve"> </w:t>
      </w:r>
      <w:r w:rsidRPr="009E4963">
        <w:t>where</w:t>
      </w:r>
      <w:r w:rsidR="009E4963">
        <w:t xml:space="preserve"> the court noted at page 5 paragraph </w:t>
      </w:r>
      <w:r w:rsidRPr="009E4963">
        <w:t>[5] as follows</w:t>
      </w:r>
      <w:r>
        <w:rPr>
          <w:i/>
        </w:rPr>
        <w:t>:</w:t>
      </w:r>
    </w:p>
    <w:p w:rsidR="00D83F87" w:rsidRDefault="00D83F87" w:rsidP="008B7430">
      <w:pPr>
        <w:tabs>
          <w:tab w:val="left" w:pos="1170"/>
        </w:tabs>
        <w:spacing w:line="360" w:lineRule="auto"/>
        <w:ind w:left="1170" w:hanging="1170"/>
        <w:jc w:val="both"/>
        <w:rPr>
          <w:i/>
        </w:rPr>
      </w:pPr>
    </w:p>
    <w:p w:rsidR="00D83F87" w:rsidRDefault="00A22E76" w:rsidP="00A22E76">
      <w:pPr>
        <w:tabs>
          <w:tab w:val="left" w:pos="1170"/>
        </w:tabs>
        <w:spacing w:line="360" w:lineRule="auto"/>
        <w:ind w:left="2160" w:hanging="1170"/>
        <w:jc w:val="both"/>
        <w:rPr>
          <w:i/>
        </w:rPr>
      </w:pPr>
      <w:r>
        <w:rPr>
          <w:i/>
        </w:rPr>
        <w:tab/>
      </w:r>
      <w:r>
        <w:rPr>
          <w:i/>
        </w:rPr>
        <w:tab/>
        <w:t>“It has been repeated over and over that summary judgment is an extraordinary, stringent and drastic remedy, in that it closes the door in final fashion to the defendant and permits judgment to be given without trial … It is for this reason that in a number of cases in South Africa, it was held that summary judgment would only be granted to a plaintiff who has an unanswerable case, in more recent cases that test has been expressed as going to far…”</w:t>
      </w:r>
    </w:p>
    <w:p w:rsidR="00D83F87" w:rsidRDefault="00D83F87" w:rsidP="008B7430">
      <w:pPr>
        <w:tabs>
          <w:tab w:val="left" w:pos="1170"/>
        </w:tabs>
        <w:spacing w:line="360" w:lineRule="auto"/>
        <w:ind w:left="1170" w:hanging="1170"/>
        <w:jc w:val="both"/>
      </w:pPr>
    </w:p>
    <w:p w:rsidR="00D83F87" w:rsidRDefault="00D83F87" w:rsidP="008B7430">
      <w:pPr>
        <w:tabs>
          <w:tab w:val="left" w:pos="1170"/>
        </w:tabs>
        <w:spacing w:line="360" w:lineRule="auto"/>
        <w:ind w:left="1170" w:hanging="1170"/>
        <w:jc w:val="both"/>
      </w:pPr>
      <w:r>
        <w:lastRenderedPageBreak/>
        <w:t>[17]</w:t>
      </w:r>
      <w:r>
        <w:tab/>
        <w:t>The learned judge proceeds at para</w:t>
      </w:r>
      <w:r w:rsidR="007155C7">
        <w:t>graph</w:t>
      </w:r>
      <w:r>
        <w:t xml:space="preserve"> [8] page 6:</w:t>
      </w:r>
    </w:p>
    <w:p w:rsidR="00D83F87" w:rsidRDefault="00D83F87" w:rsidP="008B7430">
      <w:pPr>
        <w:tabs>
          <w:tab w:val="left" w:pos="1170"/>
        </w:tabs>
        <w:spacing w:line="360" w:lineRule="auto"/>
        <w:ind w:left="1170" w:hanging="1170"/>
        <w:jc w:val="both"/>
      </w:pPr>
    </w:p>
    <w:p w:rsidR="00D83F87" w:rsidRDefault="00A22E76" w:rsidP="00A22E76">
      <w:pPr>
        <w:tabs>
          <w:tab w:val="left" w:pos="1170"/>
        </w:tabs>
        <w:spacing w:line="360" w:lineRule="auto"/>
        <w:ind w:left="2160" w:hanging="1170"/>
        <w:jc w:val="both"/>
      </w:pPr>
      <w:r>
        <w:tab/>
      </w:r>
      <w:r w:rsidR="00D83F87">
        <w:tab/>
      </w:r>
      <w:r w:rsidR="00D83F87">
        <w:rPr>
          <w:i/>
        </w:rPr>
        <w:t>“</w:t>
      </w:r>
      <w:r>
        <w:rPr>
          <w:i/>
        </w:rPr>
        <w:t>It is further the judicial accord, that, in as much as the defendant is not required at this stage to demonstrate</w:t>
      </w:r>
      <w:r w:rsidR="001534BD">
        <w:rPr>
          <w:i/>
        </w:rPr>
        <w:t xml:space="preserve"> his </w:t>
      </w:r>
      <w:proofErr w:type="spellStart"/>
      <w:r w:rsidR="001534BD">
        <w:rPr>
          <w:i/>
        </w:rPr>
        <w:t>defence</w:t>
      </w:r>
      <w:proofErr w:type="spellEnd"/>
      <w:r w:rsidR="001534BD">
        <w:rPr>
          <w:i/>
        </w:rPr>
        <w:t xml:space="preserve"> with the precision or exactitude required of a plea, however, to raise </w:t>
      </w:r>
      <w:proofErr w:type="spellStart"/>
      <w:r w:rsidR="001534BD">
        <w:rPr>
          <w:i/>
        </w:rPr>
        <w:t>triable</w:t>
      </w:r>
      <w:proofErr w:type="spellEnd"/>
      <w:r w:rsidR="001534BD">
        <w:rPr>
          <w:i/>
        </w:rPr>
        <w:t xml:space="preserve"> issues, the Defendant’s</w:t>
      </w:r>
      <w:r>
        <w:rPr>
          <w:i/>
        </w:rPr>
        <w:t xml:space="preserve"> </w:t>
      </w:r>
      <w:r w:rsidR="001534BD">
        <w:rPr>
          <w:i/>
        </w:rPr>
        <w:t xml:space="preserve">affidavit must be </w:t>
      </w:r>
      <w:r w:rsidR="001534BD" w:rsidRPr="00B262CE">
        <w:rPr>
          <w:i/>
          <w:u w:val="single"/>
        </w:rPr>
        <w:t>bona fide, forthright, unequivocal and must contain sufficient material facts in answer to the plaintiff’s claim</w:t>
      </w:r>
      <w:r w:rsidR="001534BD">
        <w:rPr>
          <w:i/>
        </w:rPr>
        <w:t xml:space="preserve">, to enable the court reach the concluded opinion, that a </w:t>
      </w:r>
      <w:proofErr w:type="spellStart"/>
      <w:r w:rsidR="001534BD">
        <w:rPr>
          <w:i/>
        </w:rPr>
        <w:t>triable</w:t>
      </w:r>
      <w:proofErr w:type="spellEnd"/>
      <w:r w:rsidR="001534BD">
        <w:rPr>
          <w:i/>
        </w:rPr>
        <w:t xml:space="preserve"> issue is raised or that there ought for some other valid reason to be a trial of the claim or part of it.”</w:t>
      </w:r>
    </w:p>
    <w:p w:rsidR="00A22E76" w:rsidRDefault="00A22E76" w:rsidP="008B7430">
      <w:pPr>
        <w:tabs>
          <w:tab w:val="left" w:pos="1170"/>
        </w:tabs>
        <w:spacing w:line="360" w:lineRule="auto"/>
        <w:ind w:left="1170" w:hanging="1170"/>
        <w:jc w:val="both"/>
      </w:pPr>
    </w:p>
    <w:p w:rsidR="00D83F87" w:rsidRDefault="00D83F87" w:rsidP="008B7430">
      <w:pPr>
        <w:tabs>
          <w:tab w:val="left" w:pos="1170"/>
        </w:tabs>
        <w:spacing w:line="360" w:lineRule="auto"/>
        <w:ind w:left="1170" w:hanging="1170"/>
        <w:jc w:val="both"/>
      </w:pPr>
      <w:r>
        <w:t>[18]</w:t>
      </w:r>
      <w:r>
        <w:tab/>
        <w:t xml:space="preserve">In other words for the </w:t>
      </w:r>
      <w:proofErr w:type="spellStart"/>
      <w:r>
        <w:t>defence</w:t>
      </w:r>
      <w:proofErr w:type="spellEnd"/>
      <w:r>
        <w:t xml:space="preserve"> to be said to be </w:t>
      </w:r>
      <w:r w:rsidRPr="004C1C13">
        <w:rPr>
          <w:i/>
        </w:rPr>
        <w:t>bona fide</w:t>
      </w:r>
      <w:r>
        <w:t xml:space="preserve">, it should be </w:t>
      </w:r>
      <w:r w:rsidR="00B262CE">
        <w:t>“</w:t>
      </w:r>
      <w:r w:rsidRPr="00B262CE">
        <w:rPr>
          <w:i/>
        </w:rPr>
        <w:t>forthright</w:t>
      </w:r>
      <w:r w:rsidR="00B262CE">
        <w:rPr>
          <w:i/>
        </w:rPr>
        <w:t>”</w:t>
      </w:r>
      <w:r w:rsidRPr="00B262CE">
        <w:rPr>
          <w:i/>
        </w:rPr>
        <w:t xml:space="preserve"> </w:t>
      </w:r>
      <w:r>
        <w:t xml:space="preserve">and </w:t>
      </w:r>
      <w:r w:rsidR="00B262CE">
        <w:t>“</w:t>
      </w:r>
      <w:r w:rsidRPr="00B262CE">
        <w:rPr>
          <w:i/>
        </w:rPr>
        <w:t>unequivocal</w:t>
      </w:r>
      <w:r w:rsidR="00B262CE">
        <w:rPr>
          <w:i/>
        </w:rPr>
        <w:t>”</w:t>
      </w:r>
      <w:r>
        <w:t>.   I may also add</w:t>
      </w:r>
      <w:r w:rsidR="00B262CE">
        <w:t xml:space="preserve"> that</w:t>
      </w:r>
      <w:r>
        <w:t xml:space="preserve"> it should be genuine </w:t>
      </w:r>
      <w:r w:rsidR="00E417F6">
        <w:t xml:space="preserve">and honest </w:t>
      </w:r>
      <w:r>
        <w:t>in the circumstance.  This raises the question: Can it be so said of appellant’s counter-claim</w:t>
      </w:r>
      <w:r w:rsidR="00B262CE">
        <w:t xml:space="preserve"> </w:t>
      </w:r>
      <w:r w:rsidR="00B262CE" w:rsidRPr="00B262CE">
        <w:rPr>
          <w:i/>
        </w:rPr>
        <w:t xml:space="preserve">in </w:t>
      </w:r>
      <w:proofErr w:type="spellStart"/>
      <w:r w:rsidR="00B262CE" w:rsidRPr="00B262CE">
        <w:rPr>
          <w:i/>
        </w:rPr>
        <w:t>casu</w:t>
      </w:r>
      <w:proofErr w:type="spellEnd"/>
      <w:r>
        <w:t>?</w:t>
      </w:r>
    </w:p>
    <w:p w:rsidR="00D83F87" w:rsidRDefault="00D83F87" w:rsidP="008B7430">
      <w:pPr>
        <w:tabs>
          <w:tab w:val="left" w:pos="1170"/>
        </w:tabs>
        <w:spacing w:line="360" w:lineRule="auto"/>
        <w:ind w:left="1170" w:hanging="1170"/>
        <w:jc w:val="both"/>
      </w:pPr>
    </w:p>
    <w:p w:rsidR="00D83F87" w:rsidRDefault="00D83F87" w:rsidP="008B7430">
      <w:pPr>
        <w:tabs>
          <w:tab w:val="left" w:pos="1170"/>
        </w:tabs>
        <w:spacing w:line="360" w:lineRule="auto"/>
        <w:ind w:left="1170" w:hanging="1170"/>
        <w:jc w:val="both"/>
      </w:pPr>
      <w:r>
        <w:t>[19]</w:t>
      </w:r>
      <w:r>
        <w:tab/>
        <w:t>The counter-claim arises from the following circumstances as demonstrated by appellant in his affidavit resisting summary judgment application.</w:t>
      </w:r>
      <w:r w:rsidR="006D6FC6" w:rsidRPr="006D6FC6">
        <w:t xml:space="preserve"> </w:t>
      </w:r>
    </w:p>
    <w:p w:rsidR="004C1C13" w:rsidRPr="00E417F6" w:rsidRDefault="004C1C13" w:rsidP="008B7430">
      <w:pPr>
        <w:tabs>
          <w:tab w:val="left" w:pos="1170"/>
        </w:tabs>
        <w:spacing w:line="360" w:lineRule="auto"/>
        <w:ind w:left="1170" w:hanging="1170"/>
        <w:jc w:val="both"/>
        <w:rPr>
          <w:sz w:val="22"/>
          <w:szCs w:val="22"/>
        </w:rPr>
      </w:pPr>
    </w:p>
    <w:p w:rsidR="00D83F87" w:rsidRPr="00E417F6" w:rsidRDefault="006D6FC6" w:rsidP="007155C7">
      <w:pPr>
        <w:tabs>
          <w:tab w:val="left" w:pos="2160"/>
        </w:tabs>
        <w:spacing w:line="360" w:lineRule="auto"/>
        <w:ind w:left="2880" w:hanging="2880"/>
        <w:jc w:val="both"/>
        <w:rPr>
          <w:i/>
          <w:sz w:val="22"/>
          <w:szCs w:val="22"/>
        </w:rPr>
      </w:pPr>
      <w:r w:rsidRPr="00E417F6">
        <w:rPr>
          <w:sz w:val="22"/>
          <w:szCs w:val="22"/>
        </w:rPr>
        <w:tab/>
      </w:r>
      <w:r w:rsidR="00D83F87" w:rsidRPr="00E417F6">
        <w:rPr>
          <w:sz w:val="22"/>
          <w:szCs w:val="22"/>
        </w:rPr>
        <w:t>“</w:t>
      </w:r>
      <w:r w:rsidRPr="00E417F6">
        <w:rPr>
          <w:i/>
          <w:sz w:val="22"/>
          <w:szCs w:val="22"/>
        </w:rPr>
        <w:t>4.1</w:t>
      </w:r>
      <w:r w:rsidRPr="00E417F6">
        <w:rPr>
          <w:i/>
          <w:sz w:val="22"/>
          <w:szCs w:val="22"/>
        </w:rPr>
        <w:tab/>
        <w:t>On or about the 17</w:t>
      </w:r>
      <w:r w:rsidRPr="00E417F6">
        <w:rPr>
          <w:i/>
          <w:sz w:val="22"/>
          <w:szCs w:val="22"/>
          <w:vertAlign w:val="superscript"/>
        </w:rPr>
        <w:t>th</w:t>
      </w:r>
      <w:r w:rsidRPr="00E417F6">
        <w:rPr>
          <w:i/>
          <w:sz w:val="22"/>
          <w:szCs w:val="22"/>
        </w:rPr>
        <w:t xml:space="preserve"> of October 2012, the Plaintiff unarmed with a Court Order unlawfully took from my possession my motor vehicle (the vehicle which forms the subject matter of the claim in connection).</w:t>
      </w:r>
    </w:p>
    <w:p w:rsidR="006D6FC6" w:rsidRPr="00E417F6" w:rsidRDefault="006D6FC6" w:rsidP="006D6FC6">
      <w:pPr>
        <w:tabs>
          <w:tab w:val="left" w:pos="1170"/>
        </w:tabs>
        <w:spacing w:line="360" w:lineRule="auto"/>
        <w:ind w:left="2160" w:hanging="2160"/>
        <w:jc w:val="both"/>
        <w:rPr>
          <w:i/>
          <w:sz w:val="22"/>
          <w:szCs w:val="22"/>
        </w:rPr>
      </w:pPr>
    </w:p>
    <w:p w:rsidR="006D6FC6" w:rsidRPr="00E417F6" w:rsidRDefault="006D6FC6" w:rsidP="006D6FC6">
      <w:pPr>
        <w:tabs>
          <w:tab w:val="left" w:pos="1170"/>
        </w:tabs>
        <w:spacing w:line="360" w:lineRule="auto"/>
        <w:ind w:left="2160" w:hanging="2160"/>
        <w:jc w:val="both"/>
        <w:rPr>
          <w:i/>
          <w:sz w:val="22"/>
          <w:szCs w:val="22"/>
        </w:rPr>
      </w:pPr>
      <w:r w:rsidRPr="00E417F6">
        <w:rPr>
          <w:i/>
          <w:sz w:val="22"/>
          <w:szCs w:val="22"/>
        </w:rPr>
        <w:tab/>
      </w:r>
      <w:r w:rsidR="007155C7" w:rsidRPr="00E417F6">
        <w:rPr>
          <w:i/>
          <w:sz w:val="22"/>
          <w:szCs w:val="22"/>
        </w:rPr>
        <w:tab/>
      </w:r>
      <w:r w:rsidRPr="00E417F6">
        <w:rPr>
          <w:i/>
          <w:sz w:val="22"/>
          <w:szCs w:val="22"/>
        </w:rPr>
        <w:t>4.2</w:t>
      </w:r>
      <w:r w:rsidRPr="00E417F6">
        <w:rPr>
          <w:i/>
          <w:sz w:val="22"/>
          <w:szCs w:val="22"/>
        </w:rPr>
        <w:tab/>
        <w:t>The plaintiff’s conduct was unlawful and amounted to self help.</w:t>
      </w:r>
    </w:p>
    <w:p w:rsidR="006D6FC6" w:rsidRPr="00E417F6" w:rsidRDefault="006D6FC6" w:rsidP="006D6FC6">
      <w:pPr>
        <w:tabs>
          <w:tab w:val="left" w:pos="1170"/>
        </w:tabs>
        <w:spacing w:line="360" w:lineRule="auto"/>
        <w:ind w:left="2160" w:hanging="2160"/>
        <w:jc w:val="both"/>
        <w:rPr>
          <w:i/>
          <w:sz w:val="22"/>
          <w:szCs w:val="22"/>
        </w:rPr>
      </w:pPr>
    </w:p>
    <w:p w:rsidR="006D6FC6" w:rsidRPr="00E417F6" w:rsidRDefault="006D6FC6" w:rsidP="006D6FC6">
      <w:pPr>
        <w:tabs>
          <w:tab w:val="left" w:pos="1170"/>
        </w:tabs>
        <w:spacing w:line="360" w:lineRule="auto"/>
        <w:ind w:left="2160" w:hanging="2160"/>
        <w:jc w:val="both"/>
        <w:rPr>
          <w:i/>
          <w:sz w:val="22"/>
          <w:szCs w:val="22"/>
        </w:rPr>
      </w:pPr>
      <w:r w:rsidRPr="00E417F6">
        <w:rPr>
          <w:i/>
          <w:sz w:val="22"/>
          <w:szCs w:val="22"/>
        </w:rPr>
        <w:tab/>
        <w:t>4.3</w:t>
      </w:r>
      <w:r w:rsidRPr="00E417F6">
        <w:rPr>
          <w:i/>
          <w:sz w:val="22"/>
          <w:szCs w:val="22"/>
        </w:rPr>
        <w:tab/>
        <w:t>As a result of the unlawful conduct of the Plaintiff my vehicle which I use as a public transport could not continue its operations and consequently was not able to earn any revenue.</w:t>
      </w:r>
    </w:p>
    <w:p w:rsidR="006D6FC6" w:rsidRPr="00E417F6" w:rsidRDefault="006D6FC6" w:rsidP="006D6FC6">
      <w:pPr>
        <w:tabs>
          <w:tab w:val="left" w:pos="1170"/>
        </w:tabs>
        <w:spacing w:line="360" w:lineRule="auto"/>
        <w:ind w:left="2160" w:hanging="2160"/>
        <w:jc w:val="both"/>
        <w:rPr>
          <w:i/>
          <w:sz w:val="22"/>
          <w:szCs w:val="22"/>
        </w:rPr>
      </w:pPr>
    </w:p>
    <w:p w:rsidR="006D6FC6" w:rsidRPr="00E417F6" w:rsidRDefault="006D6FC6" w:rsidP="006D6FC6">
      <w:pPr>
        <w:tabs>
          <w:tab w:val="left" w:pos="1170"/>
        </w:tabs>
        <w:spacing w:line="360" w:lineRule="auto"/>
        <w:ind w:left="2160" w:hanging="2160"/>
        <w:jc w:val="both"/>
        <w:rPr>
          <w:i/>
          <w:sz w:val="22"/>
          <w:szCs w:val="22"/>
        </w:rPr>
      </w:pPr>
      <w:r w:rsidRPr="00E417F6">
        <w:rPr>
          <w:i/>
          <w:sz w:val="22"/>
          <w:szCs w:val="22"/>
        </w:rPr>
        <w:tab/>
        <w:t>4.4</w:t>
      </w:r>
      <w:r w:rsidRPr="00E417F6">
        <w:rPr>
          <w:i/>
          <w:sz w:val="22"/>
          <w:szCs w:val="22"/>
        </w:rPr>
        <w:tab/>
        <w:t>I state that on average the vehicle brings in a daily average collection of E6</w:t>
      </w:r>
      <w:r w:rsidR="00EC1A34" w:rsidRPr="00E417F6">
        <w:rPr>
          <w:i/>
          <w:sz w:val="22"/>
          <w:szCs w:val="22"/>
        </w:rPr>
        <w:t>25.00 (Six Hundred and Twenty Five Emalangeni).</w:t>
      </w:r>
    </w:p>
    <w:p w:rsidR="00EC1A34" w:rsidRPr="00E417F6" w:rsidRDefault="00EC1A34" w:rsidP="006D6FC6">
      <w:pPr>
        <w:tabs>
          <w:tab w:val="left" w:pos="1170"/>
        </w:tabs>
        <w:spacing w:line="360" w:lineRule="auto"/>
        <w:ind w:left="2160" w:hanging="2160"/>
        <w:jc w:val="both"/>
        <w:rPr>
          <w:i/>
          <w:sz w:val="22"/>
          <w:szCs w:val="22"/>
        </w:rPr>
      </w:pPr>
    </w:p>
    <w:p w:rsidR="00EC1A34" w:rsidRPr="00B262CE" w:rsidRDefault="00EC1A34" w:rsidP="006D6FC6">
      <w:pPr>
        <w:tabs>
          <w:tab w:val="left" w:pos="1170"/>
        </w:tabs>
        <w:spacing w:line="360" w:lineRule="auto"/>
        <w:ind w:left="2160" w:hanging="2160"/>
        <w:jc w:val="both"/>
        <w:rPr>
          <w:i/>
          <w:sz w:val="22"/>
          <w:szCs w:val="22"/>
        </w:rPr>
      </w:pPr>
      <w:r w:rsidRPr="00FB693C">
        <w:rPr>
          <w:i/>
        </w:rPr>
        <w:lastRenderedPageBreak/>
        <w:tab/>
      </w:r>
      <w:r w:rsidRPr="00B262CE">
        <w:rPr>
          <w:i/>
          <w:sz w:val="22"/>
          <w:szCs w:val="22"/>
        </w:rPr>
        <w:t>4.6</w:t>
      </w:r>
      <w:r w:rsidRPr="00B262CE">
        <w:rPr>
          <w:i/>
          <w:sz w:val="22"/>
          <w:szCs w:val="22"/>
        </w:rPr>
        <w:tab/>
        <w:t>I therefore submit that the Plaintiff is able to compensate me the total amount of E10</w:t>
      </w:r>
      <w:proofErr w:type="gramStart"/>
      <w:r w:rsidRPr="00B262CE">
        <w:rPr>
          <w:i/>
          <w:sz w:val="22"/>
          <w:szCs w:val="22"/>
        </w:rPr>
        <w:t>,000.00</w:t>
      </w:r>
      <w:proofErr w:type="gramEnd"/>
      <w:r w:rsidRPr="00B262CE">
        <w:rPr>
          <w:i/>
          <w:sz w:val="22"/>
          <w:szCs w:val="22"/>
        </w:rPr>
        <w:t xml:space="preserve"> (|Ten Thousand Emalangeni).</w:t>
      </w:r>
    </w:p>
    <w:p w:rsidR="00D83F87" w:rsidRPr="00B262CE" w:rsidRDefault="00D83F87" w:rsidP="008B7430">
      <w:pPr>
        <w:tabs>
          <w:tab w:val="left" w:pos="1170"/>
        </w:tabs>
        <w:spacing w:line="360" w:lineRule="auto"/>
        <w:ind w:left="1170" w:hanging="1170"/>
        <w:jc w:val="both"/>
        <w:rPr>
          <w:sz w:val="22"/>
          <w:szCs w:val="22"/>
        </w:rPr>
      </w:pPr>
    </w:p>
    <w:p w:rsidR="00D83F87" w:rsidRDefault="00D83F87" w:rsidP="008B7430">
      <w:pPr>
        <w:tabs>
          <w:tab w:val="left" w:pos="1170"/>
        </w:tabs>
        <w:spacing w:line="360" w:lineRule="auto"/>
        <w:ind w:left="1170" w:hanging="1170"/>
        <w:jc w:val="both"/>
      </w:pPr>
      <w:r>
        <w:t>[20]</w:t>
      </w:r>
      <w:r>
        <w:tab/>
        <w:t xml:space="preserve">These averments are </w:t>
      </w:r>
      <w:r w:rsidR="006C7FB6">
        <w:t xml:space="preserve">scantily </w:t>
      </w:r>
      <w:r>
        <w:t>repeated in the counter-claim.</w:t>
      </w:r>
    </w:p>
    <w:p w:rsidR="00D83F87" w:rsidRDefault="00D83F87" w:rsidP="008B7430">
      <w:pPr>
        <w:tabs>
          <w:tab w:val="left" w:pos="1170"/>
        </w:tabs>
        <w:spacing w:line="360" w:lineRule="auto"/>
        <w:ind w:left="1170" w:hanging="1170"/>
        <w:jc w:val="both"/>
      </w:pPr>
    </w:p>
    <w:p w:rsidR="00D83F87" w:rsidRDefault="00D83F87" w:rsidP="008B7430">
      <w:pPr>
        <w:tabs>
          <w:tab w:val="left" w:pos="1170"/>
        </w:tabs>
        <w:spacing w:line="360" w:lineRule="auto"/>
        <w:ind w:left="1170" w:hanging="1170"/>
        <w:jc w:val="both"/>
      </w:pPr>
      <w:r>
        <w:t>[21]</w:t>
      </w:r>
      <w:r>
        <w:tab/>
        <w:t>The arrears under the summary judgment app</w:t>
      </w:r>
      <w:r w:rsidR="004C1C13">
        <w:t>lica</w:t>
      </w:r>
      <w:r>
        <w:t>t</w:t>
      </w:r>
      <w:r w:rsidR="004C1C13">
        <w:t>ion</w:t>
      </w:r>
      <w:r w:rsidR="00B245EE">
        <w:t xml:space="preserve"> were</w:t>
      </w:r>
      <w:r w:rsidR="004C1C13">
        <w:t xml:space="preserve"> for</w:t>
      </w:r>
      <w:r w:rsidR="00B245EE">
        <w:t xml:space="preserve"> the months of May, June and July 2012.  The events complained abou</w:t>
      </w:r>
      <w:r w:rsidR="00E417F6">
        <w:t xml:space="preserve">t in the claim in reconvention occurred on the </w:t>
      </w:r>
      <w:r w:rsidR="00B245EE">
        <w:t>17</w:t>
      </w:r>
      <w:r w:rsidR="00B245EE" w:rsidRPr="00B245EE">
        <w:rPr>
          <w:vertAlign w:val="superscript"/>
        </w:rPr>
        <w:t>th</w:t>
      </w:r>
      <w:r w:rsidR="00B245EE">
        <w:t xml:space="preserve"> October 2012.  </w:t>
      </w:r>
    </w:p>
    <w:p w:rsidR="00B245EE" w:rsidRDefault="00B245EE" w:rsidP="008B7430">
      <w:pPr>
        <w:tabs>
          <w:tab w:val="left" w:pos="1170"/>
        </w:tabs>
        <w:spacing w:line="360" w:lineRule="auto"/>
        <w:ind w:left="1170" w:hanging="1170"/>
        <w:jc w:val="both"/>
      </w:pPr>
    </w:p>
    <w:p w:rsidR="00B245EE" w:rsidRDefault="00B245EE" w:rsidP="008B7430">
      <w:pPr>
        <w:tabs>
          <w:tab w:val="left" w:pos="1170"/>
        </w:tabs>
        <w:spacing w:line="360" w:lineRule="auto"/>
        <w:ind w:left="1170" w:hanging="1170"/>
        <w:jc w:val="both"/>
      </w:pPr>
      <w:r>
        <w:t>[22]</w:t>
      </w:r>
      <w:r>
        <w:tab/>
        <w:t>Suppose one would have gone to appellant at the beginning of May, 2012 and enquired; “</w:t>
      </w:r>
      <w:r w:rsidRPr="00B245EE">
        <w:rPr>
          <w:i/>
        </w:rPr>
        <w:t>you have not paid the respondent, what is your reason</w:t>
      </w:r>
      <w:r>
        <w:t xml:space="preserve">”?   </w:t>
      </w:r>
      <w:r w:rsidR="00EA02AA">
        <w:t>Would a</w:t>
      </w:r>
      <w:r w:rsidR="004C1C13">
        <w:t>ppellant</w:t>
      </w:r>
      <w:r>
        <w:t xml:space="preserve"> in the circumstances of the case </w:t>
      </w:r>
      <w:r w:rsidRPr="00B245EE">
        <w:rPr>
          <w:i/>
        </w:rPr>
        <w:t xml:space="preserve">in </w:t>
      </w:r>
      <w:proofErr w:type="spellStart"/>
      <w:r w:rsidRPr="00B245EE">
        <w:rPr>
          <w:i/>
        </w:rPr>
        <w:t>casu</w:t>
      </w:r>
      <w:proofErr w:type="spellEnd"/>
      <w:r>
        <w:t xml:space="preserve"> </w:t>
      </w:r>
      <w:r w:rsidR="00193656">
        <w:t xml:space="preserve">have </w:t>
      </w:r>
      <w:r>
        <w:t>replied: “</w:t>
      </w:r>
      <w:r w:rsidRPr="00B245EE">
        <w:rPr>
          <w:i/>
        </w:rPr>
        <w:t>I have not paid him because he owes me the sum equivalent or above the one due to me</w:t>
      </w:r>
      <w:r w:rsidR="00EA02AA">
        <w:rPr>
          <w:i/>
        </w:rPr>
        <w:t>?</w:t>
      </w:r>
      <w:r>
        <w:t>”</w:t>
      </w:r>
    </w:p>
    <w:p w:rsidR="00B245EE" w:rsidRDefault="00B245EE" w:rsidP="008B7430">
      <w:pPr>
        <w:tabs>
          <w:tab w:val="left" w:pos="1170"/>
        </w:tabs>
        <w:spacing w:line="360" w:lineRule="auto"/>
        <w:ind w:left="1170" w:hanging="1170"/>
        <w:jc w:val="both"/>
      </w:pPr>
    </w:p>
    <w:p w:rsidR="00B245EE" w:rsidRDefault="00B245EE" w:rsidP="008B7430">
      <w:pPr>
        <w:tabs>
          <w:tab w:val="left" w:pos="1170"/>
        </w:tabs>
        <w:spacing w:line="360" w:lineRule="auto"/>
        <w:ind w:left="1170" w:hanging="1170"/>
        <w:jc w:val="both"/>
      </w:pPr>
      <w:r>
        <w:t>[23]</w:t>
      </w:r>
      <w:r>
        <w:tab/>
        <w:t xml:space="preserve">The answer </w:t>
      </w:r>
      <w:r w:rsidRPr="00B245EE">
        <w:rPr>
          <w:i/>
        </w:rPr>
        <w:t xml:space="preserve">in </w:t>
      </w:r>
      <w:proofErr w:type="spellStart"/>
      <w:r w:rsidRPr="00B245EE">
        <w:rPr>
          <w:i/>
        </w:rPr>
        <w:t>casu</w:t>
      </w:r>
      <w:proofErr w:type="spellEnd"/>
      <w:r>
        <w:t xml:space="preserve"> would be a clear “</w:t>
      </w:r>
      <w:r w:rsidRPr="00B245EE">
        <w:rPr>
          <w:i/>
        </w:rPr>
        <w:t>no</w:t>
      </w:r>
      <w:r>
        <w:t xml:space="preserve">” by reason that such events had not happened nor were they anticipated.  The same question would be repeated and same response would avail for the subsequent months.  In summary, appellant’s </w:t>
      </w:r>
      <w:proofErr w:type="spellStart"/>
      <w:r>
        <w:t>defence</w:t>
      </w:r>
      <w:proofErr w:type="spellEnd"/>
      <w:r>
        <w:t xml:space="preserve"> is not </w:t>
      </w:r>
      <w:r w:rsidRPr="00B245EE">
        <w:rPr>
          <w:i/>
        </w:rPr>
        <w:t>bona fide</w:t>
      </w:r>
      <w:r>
        <w:t xml:space="preserve"> because the events which led to the counter-claim were not there when the breach of contract was committed.  They could not have been reasonably anticipated.</w:t>
      </w:r>
      <w:r w:rsidR="00193656">
        <w:t xml:space="preserve">  Innes CJ in </w:t>
      </w:r>
      <w:proofErr w:type="spellStart"/>
      <w:r w:rsidR="00193656" w:rsidRPr="00193656">
        <w:rPr>
          <w:b/>
        </w:rPr>
        <w:t>Symon</w:t>
      </w:r>
      <w:proofErr w:type="spellEnd"/>
      <w:r w:rsidR="00193656" w:rsidRPr="00193656">
        <w:rPr>
          <w:b/>
        </w:rPr>
        <w:t xml:space="preserve"> v </w:t>
      </w:r>
      <w:proofErr w:type="spellStart"/>
      <w:r w:rsidR="00193656" w:rsidRPr="00193656">
        <w:rPr>
          <w:b/>
        </w:rPr>
        <w:t>Brecker</w:t>
      </w:r>
      <w:proofErr w:type="spellEnd"/>
      <w:r w:rsidR="00193656" w:rsidRPr="00193656">
        <w:rPr>
          <w:b/>
        </w:rPr>
        <w:t xml:space="preserve"> 1904 T.S 745</w:t>
      </w:r>
      <w:r w:rsidR="00193656">
        <w:t xml:space="preserve"> at 747states of compensation:</w:t>
      </w:r>
    </w:p>
    <w:p w:rsidR="00193656" w:rsidRDefault="00193656" w:rsidP="008B7430">
      <w:pPr>
        <w:tabs>
          <w:tab w:val="left" w:pos="1170"/>
        </w:tabs>
        <w:spacing w:line="360" w:lineRule="auto"/>
        <w:ind w:left="1170" w:hanging="1170"/>
        <w:jc w:val="both"/>
      </w:pPr>
    </w:p>
    <w:p w:rsidR="00193656" w:rsidRPr="00193656" w:rsidRDefault="00193656" w:rsidP="00193656">
      <w:pPr>
        <w:tabs>
          <w:tab w:val="left" w:pos="1170"/>
        </w:tabs>
        <w:spacing w:line="360" w:lineRule="auto"/>
        <w:ind w:left="2880" w:hanging="1170"/>
        <w:jc w:val="both"/>
        <w:rPr>
          <w:i/>
        </w:rPr>
      </w:pPr>
      <w:r>
        <w:tab/>
        <w:t>“</w:t>
      </w:r>
      <w:r w:rsidRPr="00193656">
        <w:rPr>
          <w:i/>
          <w:sz w:val="22"/>
          <w:szCs w:val="22"/>
        </w:rPr>
        <w:t>Compensation by our law is really equivalent to payment; it operates ipso facto as a discharge.  So soon as there are two debts in existence, between which there is mutuality, so th</w:t>
      </w:r>
      <w:r>
        <w:rPr>
          <w:i/>
          <w:sz w:val="22"/>
          <w:szCs w:val="22"/>
        </w:rPr>
        <w:t>a</w:t>
      </w:r>
      <w:r w:rsidRPr="00193656">
        <w:rPr>
          <w:i/>
          <w:sz w:val="22"/>
          <w:szCs w:val="22"/>
        </w:rPr>
        <w:t xml:space="preserve">t the one can be compensated </w:t>
      </w:r>
      <w:r>
        <w:rPr>
          <w:i/>
          <w:sz w:val="22"/>
          <w:szCs w:val="22"/>
        </w:rPr>
        <w:t>a</w:t>
      </w:r>
      <w:r w:rsidRPr="00193656">
        <w:rPr>
          <w:i/>
          <w:sz w:val="22"/>
          <w:szCs w:val="22"/>
        </w:rPr>
        <w:t>gainst the other, then by operation of law</w:t>
      </w:r>
      <w:r>
        <w:rPr>
          <w:i/>
          <w:sz w:val="22"/>
          <w:szCs w:val="22"/>
        </w:rPr>
        <w:t>,</w:t>
      </w:r>
      <w:r w:rsidRPr="00193656">
        <w:rPr>
          <w:i/>
          <w:sz w:val="22"/>
          <w:szCs w:val="22"/>
        </w:rPr>
        <w:t xml:space="preserve"> the one debt extinguishes the other pro </w:t>
      </w:r>
      <w:proofErr w:type="spellStart"/>
      <w:r w:rsidRPr="00193656">
        <w:rPr>
          <w:i/>
          <w:sz w:val="22"/>
          <w:szCs w:val="22"/>
        </w:rPr>
        <w:t>tanto</w:t>
      </w:r>
      <w:proofErr w:type="spellEnd"/>
      <w:r w:rsidRPr="00193656">
        <w:rPr>
          <w:i/>
          <w:sz w:val="22"/>
          <w:szCs w:val="22"/>
        </w:rPr>
        <w:t>.”</w:t>
      </w:r>
    </w:p>
    <w:p w:rsidR="00B245EE" w:rsidRPr="00193656" w:rsidRDefault="00193656" w:rsidP="008B7430">
      <w:pPr>
        <w:tabs>
          <w:tab w:val="left" w:pos="1170"/>
        </w:tabs>
        <w:spacing w:line="360" w:lineRule="auto"/>
        <w:ind w:left="1170" w:hanging="1170"/>
        <w:jc w:val="both"/>
        <w:rPr>
          <w:i/>
        </w:rPr>
      </w:pPr>
      <w:r w:rsidRPr="00193656">
        <w:rPr>
          <w:i/>
        </w:rPr>
        <w:t xml:space="preserve"> </w:t>
      </w:r>
    </w:p>
    <w:p w:rsidR="00B245EE" w:rsidRDefault="00B245EE" w:rsidP="008B7430">
      <w:pPr>
        <w:tabs>
          <w:tab w:val="left" w:pos="1170"/>
        </w:tabs>
        <w:spacing w:line="360" w:lineRule="auto"/>
        <w:ind w:left="1170" w:hanging="1170"/>
        <w:jc w:val="both"/>
      </w:pPr>
      <w:r>
        <w:t>[24]</w:t>
      </w:r>
      <w:r>
        <w:tab/>
        <w:t xml:space="preserve">Secondly, </w:t>
      </w:r>
      <w:r w:rsidR="00CF713A">
        <w:t>under the circumstances of this case, in October 2012, by virtue of the breach of contract</w:t>
      </w:r>
      <w:r w:rsidR="00193656">
        <w:t xml:space="preserve"> at the instance of appellant</w:t>
      </w:r>
      <w:r w:rsidR="00CF713A">
        <w:t xml:space="preserve">, appellant was in law not entitled to enjoy use of the </w:t>
      </w:r>
      <w:proofErr w:type="spellStart"/>
      <w:r w:rsidR="00CF713A" w:rsidRPr="00397160">
        <w:rPr>
          <w:i/>
        </w:rPr>
        <w:t>merx</w:t>
      </w:r>
      <w:proofErr w:type="spellEnd"/>
      <w:r w:rsidR="00CF713A">
        <w:t xml:space="preserve">.  His right </w:t>
      </w:r>
      <w:r w:rsidR="00B262CE">
        <w:t>to</w:t>
      </w:r>
      <w:r w:rsidR="00CF713A">
        <w:t xml:space="preserve"> usufruct was inherent in the very contract which he had so breached.  To allow appellant to reap under a contract which fell at his </w:t>
      </w:r>
      <w:r w:rsidR="00CF713A">
        <w:lastRenderedPageBreak/>
        <w:t xml:space="preserve">instance, would be to </w:t>
      </w:r>
      <w:proofErr w:type="spellStart"/>
      <w:r w:rsidR="00CF713A">
        <w:t>recogni</w:t>
      </w:r>
      <w:r w:rsidR="00E249D0">
        <w:t>s</w:t>
      </w:r>
      <w:r w:rsidR="00CF713A">
        <w:t>e</w:t>
      </w:r>
      <w:proofErr w:type="spellEnd"/>
      <w:r w:rsidR="00CF713A">
        <w:t xml:space="preserve"> a right which he himself terminated, a situation which is untenable in the administration of justice as it would amount to unjust enrichment.</w:t>
      </w:r>
    </w:p>
    <w:p w:rsidR="00CF713A" w:rsidRDefault="00CF713A" w:rsidP="008B7430">
      <w:pPr>
        <w:tabs>
          <w:tab w:val="left" w:pos="1170"/>
        </w:tabs>
        <w:spacing w:line="360" w:lineRule="auto"/>
        <w:ind w:left="1170" w:hanging="1170"/>
        <w:jc w:val="both"/>
      </w:pPr>
    </w:p>
    <w:p w:rsidR="00CF713A" w:rsidRDefault="00CF713A" w:rsidP="008B7430">
      <w:pPr>
        <w:tabs>
          <w:tab w:val="left" w:pos="1170"/>
        </w:tabs>
        <w:spacing w:line="360" w:lineRule="auto"/>
        <w:ind w:left="1170" w:hanging="1170"/>
        <w:jc w:val="both"/>
      </w:pPr>
      <w:r>
        <w:t>[25]</w:t>
      </w:r>
      <w:r>
        <w:tab/>
        <w:t xml:space="preserve">Thirdly, it is not clear why it took appellant </w:t>
      </w:r>
      <w:r w:rsidR="00397160">
        <w:t>sixteen</w:t>
      </w:r>
      <w:r>
        <w:t xml:space="preserve"> days to have an order of spoliation from this court and served </w:t>
      </w:r>
      <w:r w:rsidR="00E249D0">
        <w:t xml:space="preserve">same </w:t>
      </w:r>
      <w:r>
        <w:t>to respondent in light of Rule</w:t>
      </w:r>
      <w:r w:rsidR="00397160">
        <w:t xml:space="preserve"> 6</w:t>
      </w:r>
      <w:r>
        <w:t xml:space="preserve"> (25) which entitles appellant </w:t>
      </w:r>
      <w:r w:rsidR="00397160">
        <w:t xml:space="preserve">access to </w:t>
      </w:r>
      <w:r>
        <w:t>a remedy within few hours.  Nothing is averred to justify such a delay.</w:t>
      </w:r>
    </w:p>
    <w:p w:rsidR="00CF713A" w:rsidRDefault="00CF713A" w:rsidP="008B7430">
      <w:pPr>
        <w:tabs>
          <w:tab w:val="left" w:pos="1170"/>
        </w:tabs>
        <w:spacing w:line="360" w:lineRule="auto"/>
        <w:ind w:left="1170" w:hanging="1170"/>
        <w:jc w:val="both"/>
      </w:pPr>
    </w:p>
    <w:p w:rsidR="00CF713A" w:rsidRDefault="00CF713A" w:rsidP="008B7430">
      <w:pPr>
        <w:tabs>
          <w:tab w:val="left" w:pos="1170"/>
        </w:tabs>
        <w:spacing w:line="360" w:lineRule="auto"/>
        <w:ind w:left="1170" w:hanging="1170"/>
        <w:jc w:val="both"/>
      </w:pPr>
      <w:r>
        <w:t>[26]</w:t>
      </w:r>
      <w:r>
        <w:tab/>
        <w:t xml:space="preserve">In the absence of any averments </w:t>
      </w:r>
      <w:r w:rsidR="006C7FB6">
        <w:t>attributed</w:t>
      </w:r>
      <w:r>
        <w:t xml:space="preserve"> to the respondent for the delay in obtaining </w:t>
      </w:r>
      <w:r w:rsidR="00E249D0">
        <w:t xml:space="preserve">the </w:t>
      </w:r>
      <w:r>
        <w:t>order</w:t>
      </w:r>
      <w:r w:rsidR="00E249D0">
        <w:t xml:space="preserve"> under </w:t>
      </w:r>
      <w:proofErr w:type="spellStart"/>
      <w:r w:rsidR="00E249D0">
        <w:t>spoilation</w:t>
      </w:r>
      <w:proofErr w:type="spellEnd"/>
      <w:r>
        <w:t xml:space="preserve"> which is readily available, the court is left with one irresistible inference which is that the delay was only to ensure that the sum under counter-claim would be equivalent to the amount in the summons</w:t>
      </w:r>
      <w:r w:rsidR="00C9347C">
        <w:t xml:space="preserve"> thereby defeating appellant’s legitimate claim</w:t>
      </w:r>
      <w:r>
        <w:t>.</w:t>
      </w:r>
    </w:p>
    <w:p w:rsidR="00CF713A" w:rsidRDefault="00CF713A" w:rsidP="008B7430">
      <w:pPr>
        <w:tabs>
          <w:tab w:val="left" w:pos="1170"/>
        </w:tabs>
        <w:spacing w:line="360" w:lineRule="auto"/>
        <w:ind w:left="1170" w:hanging="1170"/>
        <w:jc w:val="both"/>
      </w:pPr>
    </w:p>
    <w:p w:rsidR="00CF713A" w:rsidRDefault="00CF713A" w:rsidP="008B7430">
      <w:pPr>
        <w:tabs>
          <w:tab w:val="left" w:pos="1170"/>
        </w:tabs>
        <w:spacing w:line="360" w:lineRule="auto"/>
        <w:ind w:left="1170" w:hanging="1170"/>
        <w:jc w:val="both"/>
      </w:pPr>
      <w:r>
        <w:t>[27]</w:t>
      </w:r>
      <w:r>
        <w:tab/>
        <w:t xml:space="preserve">In the totality of the above, I hold that the appellant has failed to establish a </w:t>
      </w:r>
      <w:r w:rsidRPr="00B10972">
        <w:rPr>
          <w:i/>
        </w:rPr>
        <w:t>bona fide</w:t>
      </w:r>
      <w:r>
        <w:t xml:space="preserve"> </w:t>
      </w:r>
      <w:proofErr w:type="spellStart"/>
      <w:r>
        <w:t>defence</w:t>
      </w:r>
      <w:proofErr w:type="spellEnd"/>
      <w:r>
        <w:t xml:space="preserve"> necessary</w:t>
      </w:r>
      <w:r w:rsidR="00B10972">
        <w:t xml:space="preserve"> to raise a </w:t>
      </w:r>
      <w:proofErr w:type="spellStart"/>
      <w:r w:rsidR="00B10972">
        <w:t>triable</w:t>
      </w:r>
      <w:proofErr w:type="spellEnd"/>
      <w:r w:rsidR="00B10972">
        <w:t xml:space="preserve"> issue.  The following orders are entered:</w:t>
      </w:r>
    </w:p>
    <w:p w:rsidR="00B10972" w:rsidRDefault="00B10972" w:rsidP="008B7430">
      <w:pPr>
        <w:tabs>
          <w:tab w:val="left" w:pos="1170"/>
        </w:tabs>
        <w:spacing w:line="360" w:lineRule="auto"/>
        <w:ind w:left="1170" w:hanging="1170"/>
        <w:jc w:val="both"/>
      </w:pPr>
    </w:p>
    <w:p w:rsidR="006C7FB6" w:rsidRDefault="006C7FB6" w:rsidP="008B7430">
      <w:pPr>
        <w:tabs>
          <w:tab w:val="left" w:pos="1170"/>
        </w:tabs>
        <w:spacing w:line="360" w:lineRule="auto"/>
        <w:ind w:left="1170" w:hanging="1170"/>
        <w:jc w:val="both"/>
      </w:pPr>
    </w:p>
    <w:p w:rsidR="00B10972" w:rsidRDefault="00B10972" w:rsidP="00B10972">
      <w:pPr>
        <w:pStyle w:val="ListParagraph"/>
        <w:numPr>
          <w:ilvl w:val="0"/>
          <w:numId w:val="1"/>
        </w:numPr>
        <w:tabs>
          <w:tab w:val="left" w:pos="1170"/>
        </w:tabs>
        <w:spacing w:line="360" w:lineRule="auto"/>
        <w:ind w:left="1800" w:hanging="630"/>
        <w:jc w:val="both"/>
      </w:pPr>
      <w:r>
        <w:t>Appellant’s appeal is dismissed.</w:t>
      </w:r>
    </w:p>
    <w:p w:rsidR="00B10972" w:rsidRDefault="00B10972" w:rsidP="00B10972">
      <w:pPr>
        <w:pStyle w:val="ListParagraph"/>
        <w:numPr>
          <w:ilvl w:val="0"/>
          <w:numId w:val="1"/>
        </w:numPr>
        <w:tabs>
          <w:tab w:val="left" w:pos="1170"/>
        </w:tabs>
        <w:spacing w:line="360" w:lineRule="auto"/>
        <w:ind w:left="1800" w:hanging="630"/>
        <w:jc w:val="both"/>
      </w:pPr>
      <w:r>
        <w:t>Costs to follow the event.</w:t>
      </w:r>
    </w:p>
    <w:p w:rsidR="00B10972" w:rsidRDefault="00B10972" w:rsidP="00B10972">
      <w:pPr>
        <w:tabs>
          <w:tab w:val="left" w:pos="1170"/>
        </w:tabs>
        <w:jc w:val="center"/>
        <w:rPr>
          <w:b/>
        </w:rPr>
      </w:pPr>
    </w:p>
    <w:p w:rsidR="00B10972" w:rsidRDefault="00B10972" w:rsidP="00B10972">
      <w:pPr>
        <w:tabs>
          <w:tab w:val="left" w:pos="1170"/>
        </w:tabs>
        <w:jc w:val="center"/>
        <w:rPr>
          <w:b/>
        </w:rPr>
      </w:pPr>
    </w:p>
    <w:p w:rsidR="006C7FB6" w:rsidRDefault="006C7FB6" w:rsidP="00B10972">
      <w:pPr>
        <w:tabs>
          <w:tab w:val="left" w:pos="1170"/>
        </w:tabs>
        <w:jc w:val="center"/>
        <w:rPr>
          <w:b/>
        </w:rPr>
      </w:pPr>
    </w:p>
    <w:p w:rsidR="00B10972" w:rsidRDefault="00B10972" w:rsidP="00B10972">
      <w:pPr>
        <w:tabs>
          <w:tab w:val="left" w:pos="1170"/>
        </w:tabs>
        <w:jc w:val="center"/>
        <w:rPr>
          <w:b/>
        </w:rPr>
      </w:pPr>
    </w:p>
    <w:p w:rsidR="00397160" w:rsidRDefault="00397160" w:rsidP="00B10972">
      <w:pPr>
        <w:tabs>
          <w:tab w:val="left" w:pos="1170"/>
        </w:tabs>
        <w:jc w:val="center"/>
        <w:rPr>
          <w:b/>
        </w:rPr>
      </w:pPr>
    </w:p>
    <w:p w:rsidR="00B10972" w:rsidRDefault="00B10972" w:rsidP="00B10972">
      <w:pPr>
        <w:tabs>
          <w:tab w:val="left" w:pos="1170"/>
        </w:tabs>
        <w:jc w:val="center"/>
        <w:rPr>
          <w:b/>
        </w:rPr>
      </w:pPr>
      <w:r>
        <w:rPr>
          <w:b/>
        </w:rPr>
        <w:t>________________</w:t>
      </w:r>
    </w:p>
    <w:p w:rsidR="00B10972" w:rsidRPr="00B10972" w:rsidRDefault="00B10972" w:rsidP="00B10972">
      <w:pPr>
        <w:tabs>
          <w:tab w:val="left" w:pos="1170"/>
        </w:tabs>
        <w:jc w:val="center"/>
        <w:rPr>
          <w:b/>
        </w:rPr>
      </w:pPr>
      <w:r w:rsidRPr="00B10972">
        <w:rPr>
          <w:b/>
        </w:rPr>
        <w:t>M. DLAMINI</w:t>
      </w:r>
    </w:p>
    <w:p w:rsidR="00B10972" w:rsidRDefault="00B10972" w:rsidP="00B10972">
      <w:pPr>
        <w:tabs>
          <w:tab w:val="left" w:pos="1170"/>
        </w:tabs>
        <w:jc w:val="center"/>
      </w:pPr>
      <w:r w:rsidRPr="00B10972">
        <w:rPr>
          <w:b/>
        </w:rPr>
        <w:t>JUDGE</w:t>
      </w:r>
    </w:p>
    <w:p w:rsidR="00B10972" w:rsidRDefault="00B10972" w:rsidP="00B10972">
      <w:pPr>
        <w:tabs>
          <w:tab w:val="left" w:pos="1170"/>
        </w:tabs>
        <w:spacing w:line="360" w:lineRule="auto"/>
        <w:jc w:val="both"/>
      </w:pPr>
    </w:p>
    <w:p w:rsidR="00397160" w:rsidRDefault="00397160" w:rsidP="00B10972">
      <w:pPr>
        <w:tabs>
          <w:tab w:val="left" w:pos="1170"/>
        </w:tabs>
        <w:spacing w:line="360" w:lineRule="auto"/>
        <w:jc w:val="both"/>
        <w:rPr>
          <w:b/>
        </w:rPr>
      </w:pPr>
    </w:p>
    <w:p w:rsidR="00B10972" w:rsidRPr="00B10972" w:rsidRDefault="00B10972" w:rsidP="00B10972">
      <w:pPr>
        <w:tabs>
          <w:tab w:val="left" w:pos="1170"/>
        </w:tabs>
        <w:spacing w:line="360" w:lineRule="auto"/>
        <w:jc w:val="both"/>
        <w:rPr>
          <w:b/>
        </w:rPr>
      </w:pPr>
      <w:r w:rsidRPr="00B10972">
        <w:rPr>
          <w:b/>
        </w:rPr>
        <w:t>For Appellant</w:t>
      </w:r>
      <w:r w:rsidRPr="00B10972">
        <w:rPr>
          <w:b/>
        </w:rPr>
        <w:tab/>
        <w:t>:</w:t>
      </w:r>
      <w:r w:rsidRPr="00B10972">
        <w:rPr>
          <w:b/>
        </w:rPr>
        <w:tab/>
        <w:t xml:space="preserve">S. C. </w:t>
      </w:r>
      <w:proofErr w:type="spellStart"/>
      <w:r w:rsidRPr="00B10972">
        <w:rPr>
          <w:b/>
        </w:rPr>
        <w:t>Dlamini</w:t>
      </w:r>
      <w:proofErr w:type="spellEnd"/>
    </w:p>
    <w:p w:rsidR="00B10972" w:rsidRPr="00B10972" w:rsidRDefault="00B10972" w:rsidP="00B10972">
      <w:pPr>
        <w:tabs>
          <w:tab w:val="left" w:pos="1170"/>
        </w:tabs>
        <w:spacing w:line="360" w:lineRule="auto"/>
        <w:jc w:val="both"/>
        <w:rPr>
          <w:b/>
        </w:rPr>
      </w:pPr>
      <w:r w:rsidRPr="00B10972">
        <w:rPr>
          <w:b/>
        </w:rPr>
        <w:t xml:space="preserve">For </w:t>
      </w:r>
      <w:proofErr w:type="spellStart"/>
      <w:r w:rsidRPr="00B10972">
        <w:rPr>
          <w:b/>
        </w:rPr>
        <w:t>Respodent</w:t>
      </w:r>
      <w:proofErr w:type="spellEnd"/>
      <w:r w:rsidRPr="00B10972">
        <w:rPr>
          <w:b/>
        </w:rPr>
        <w:tab/>
        <w:t>:</w:t>
      </w:r>
      <w:r w:rsidRPr="00B10972">
        <w:rPr>
          <w:b/>
        </w:rPr>
        <w:tab/>
        <w:t xml:space="preserve">X. </w:t>
      </w:r>
      <w:proofErr w:type="spellStart"/>
      <w:r w:rsidRPr="00B10972">
        <w:rPr>
          <w:b/>
        </w:rPr>
        <w:t>Mthethwa</w:t>
      </w:r>
      <w:proofErr w:type="spellEnd"/>
      <w:r w:rsidRPr="00B10972">
        <w:rPr>
          <w:b/>
        </w:rPr>
        <w:t>.</w:t>
      </w:r>
    </w:p>
    <w:sectPr w:rsidR="00B10972" w:rsidRPr="00B10972" w:rsidSect="00D46F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74" w:rsidRDefault="00653174" w:rsidP="000E2782">
      <w:r>
        <w:separator/>
      </w:r>
    </w:p>
  </w:endnote>
  <w:endnote w:type="continuationSeparator" w:id="0">
    <w:p w:rsidR="00653174" w:rsidRDefault="00653174" w:rsidP="000E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77486"/>
      <w:docPartObj>
        <w:docPartGallery w:val="Page Numbers (Bottom of Page)"/>
        <w:docPartUnique/>
      </w:docPartObj>
    </w:sdtPr>
    <w:sdtEndPr/>
    <w:sdtContent>
      <w:p w:rsidR="00193656" w:rsidRDefault="00653174">
        <w:pPr>
          <w:pStyle w:val="Footer"/>
          <w:jc w:val="right"/>
        </w:pPr>
        <w:r>
          <w:fldChar w:fldCharType="begin"/>
        </w:r>
        <w:r>
          <w:instrText xml:space="preserve"> PAGE   \* MERGEFORMAT </w:instrText>
        </w:r>
        <w:r>
          <w:fldChar w:fldCharType="separate"/>
        </w:r>
        <w:r w:rsidR="00691ACD">
          <w:rPr>
            <w:noProof/>
          </w:rPr>
          <w:t>1</w:t>
        </w:r>
        <w:r>
          <w:rPr>
            <w:noProof/>
          </w:rPr>
          <w:fldChar w:fldCharType="end"/>
        </w:r>
      </w:p>
    </w:sdtContent>
  </w:sdt>
  <w:p w:rsidR="00193656" w:rsidRDefault="0019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74" w:rsidRDefault="00653174" w:rsidP="000E2782">
      <w:r>
        <w:separator/>
      </w:r>
    </w:p>
  </w:footnote>
  <w:footnote w:type="continuationSeparator" w:id="0">
    <w:p w:rsidR="00653174" w:rsidRDefault="00653174" w:rsidP="000E2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0456"/>
    <w:multiLevelType w:val="hybridMultilevel"/>
    <w:tmpl w:val="7CA071BE"/>
    <w:lvl w:ilvl="0" w:tplc="61F0C81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28"/>
    <w:rsid w:val="0004245A"/>
    <w:rsid w:val="000E2782"/>
    <w:rsid w:val="000F49DA"/>
    <w:rsid w:val="00133993"/>
    <w:rsid w:val="001534BD"/>
    <w:rsid w:val="00193656"/>
    <w:rsid w:val="001E59B5"/>
    <w:rsid w:val="00233734"/>
    <w:rsid w:val="00274A95"/>
    <w:rsid w:val="002850D3"/>
    <w:rsid w:val="0028756B"/>
    <w:rsid w:val="0029270F"/>
    <w:rsid w:val="002E201A"/>
    <w:rsid w:val="0031021F"/>
    <w:rsid w:val="00397160"/>
    <w:rsid w:val="004C1C13"/>
    <w:rsid w:val="00566A23"/>
    <w:rsid w:val="0057108D"/>
    <w:rsid w:val="005D097C"/>
    <w:rsid w:val="005F3A61"/>
    <w:rsid w:val="00630842"/>
    <w:rsid w:val="00653174"/>
    <w:rsid w:val="006879BC"/>
    <w:rsid w:val="00691ACD"/>
    <w:rsid w:val="006C7FB6"/>
    <w:rsid w:val="006D6FC6"/>
    <w:rsid w:val="006E470E"/>
    <w:rsid w:val="00714770"/>
    <w:rsid w:val="007155C7"/>
    <w:rsid w:val="00734728"/>
    <w:rsid w:val="00795186"/>
    <w:rsid w:val="007A32C6"/>
    <w:rsid w:val="007B6909"/>
    <w:rsid w:val="007E763E"/>
    <w:rsid w:val="0080502E"/>
    <w:rsid w:val="0089720D"/>
    <w:rsid w:val="008B7430"/>
    <w:rsid w:val="008C778E"/>
    <w:rsid w:val="00906F5D"/>
    <w:rsid w:val="009E3606"/>
    <w:rsid w:val="009E4963"/>
    <w:rsid w:val="00A02A59"/>
    <w:rsid w:val="00A22E76"/>
    <w:rsid w:val="00AE4E89"/>
    <w:rsid w:val="00B10972"/>
    <w:rsid w:val="00B245EE"/>
    <w:rsid w:val="00B262CE"/>
    <w:rsid w:val="00B54D29"/>
    <w:rsid w:val="00C9347C"/>
    <w:rsid w:val="00CF2458"/>
    <w:rsid w:val="00CF713A"/>
    <w:rsid w:val="00D004FC"/>
    <w:rsid w:val="00D156D6"/>
    <w:rsid w:val="00D35C5E"/>
    <w:rsid w:val="00D46FE7"/>
    <w:rsid w:val="00D83F87"/>
    <w:rsid w:val="00DC7B8A"/>
    <w:rsid w:val="00E211C1"/>
    <w:rsid w:val="00E249D0"/>
    <w:rsid w:val="00E417F6"/>
    <w:rsid w:val="00E86539"/>
    <w:rsid w:val="00EA02AA"/>
    <w:rsid w:val="00EC1A34"/>
    <w:rsid w:val="00F210F5"/>
    <w:rsid w:val="00F47FD0"/>
    <w:rsid w:val="00F73D25"/>
    <w:rsid w:val="00FA7526"/>
    <w:rsid w:val="00FB693C"/>
    <w:rsid w:val="00FC12D1"/>
    <w:rsid w:val="00FF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72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4728"/>
    <w:pPr>
      <w:ind w:left="720"/>
      <w:contextualSpacing/>
    </w:pPr>
  </w:style>
  <w:style w:type="paragraph" w:styleId="BalloonText">
    <w:name w:val="Balloon Text"/>
    <w:basedOn w:val="Normal"/>
    <w:link w:val="BalloonTextChar"/>
    <w:uiPriority w:val="99"/>
    <w:semiHidden/>
    <w:unhideWhenUsed/>
    <w:rsid w:val="00734728"/>
    <w:rPr>
      <w:rFonts w:ascii="Tahoma" w:hAnsi="Tahoma" w:cs="Tahoma"/>
      <w:sz w:val="16"/>
      <w:szCs w:val="16"/>
    </w:rPr>
  </w:style>
  <w:style w:type="character" w:customStyle="1" w:styleId="BalloonTextChar">
    <w:name w:val="Balloon Text Char"/>
    <w:basedOn w:val="DefaultParagraphFont"/>
    <w:link w:val="BalloonText"/>
    <w:uiPriority w:val="99"/>
    <w:semiHidden/>
    <w:rsid w:val="00734728"/>
    <w:rPr>
      <w:rFonts w:ascii="Tahoma" w:eastAsia="Times New Roman" w:hAnsi="Tahoma" w:cs="Tahoma"/>
      <w:sz w:val="16"/>
      <w:szCs w:val="16"/>
    </w:rPr>
  </w:style>
  <w:style w:type="paragraph" w:styleId="Header">
    <w:name w:val="header"/>
    <w:basedOn w:val="Normal"/>
    <w:link w:val="HeaderChar"/>
    <w:uiPriority w:val="99"/>
    <w:semiHidden/>
    <w:unhideWhenUsed/>
    <w:rsid w:val="000E2782"/>
    <w:pPr>
      <w:tabs>
        <w:tab w:val="center" w:pos="4680"/>
        <w:tab w:val="right" w:pos="9360"/>
      </w:tabs>
    </w:pPr>
  </w:style>
  <w:style w:type="character" w:customStyle="1" w:styleId="HeaderChar">
    <w:name w:val="Header Char"/>
    <w:basedOn w:val="DefaultParagraphFont"/>
    <w:link w:val="Header"/>
    <w:uiPriority w:val="99"/>
    <w:semiHidden/>
    <w:rsid w:val="000E27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782"/>
    <w:pPr>
      <w:tabs>
        <w:tab w:val="center" w:pos="4680"/>
        <w:tab w:val="right" w:pos="9360"/>
      </w:tabs>
    </w:pPr>
  </w:style>
  <w:style w:type="character" w:customStyle="1" w:styleId="FooterChar">
    <w:name w:val="Footer Char"/>
    <w:basedOn w:val="DefaultParagraphFont"/>
    <w:link w:val="Footer"/>
    <w:uiPriority w:val="99"/>
    <w:rsid w:val="000E278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72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4728"/>
    <w:pPr>
      <w:ind w:left="720"/>
      <w:contextualSpacing/>
    </w:pPr>
  </w:style>
  <w:style w:type="paragraph" w:styleId="BalloonText">
    <w:name w:val="Balloon Text"/>
    <w:basedOn w:val="Normal"/>
    <w:link w:val="BalloonTextChar"/>
    <w:uiPriority w:val="99"/>
    <w:semiHidden/>
    <w:unhideWhenUsed/>
    <w:rsid w:val="00734728"/>
    <w:rPr>
      <w:rFonts w:ascii="Tahoma" w:hAnsi="Tahoma" w:cs="Tahoma"/>
      <w:sz w:val="16"/>
      <w:szCs w:val="16"/>
    </w:rPr>
  </w:style>
  <w:style w:type="character" w:customStyle="1" w:styleId="BalloonTextChar">
    <w:name w:val="Balloon Text Char"/>
    <w:basedOn w:val="DefaultParagraphFont"/>
    <w:link w:val="BalloonText"/>
    <w:uiPriority w:val="99"/>
    <w:semiHidden/>
    <w:rsid w:val="00734728"/>
    <w:rPr>
      <w:rFonts w:ascii="Tahoma" w:eastAsia="Times New Roman" w:hAnsi="Tahoma" w:cs="Tahoma"/>
      <w:sz w:val="16"/>
      <w:szCs w:val="16"/>
    </w:rPr>
  </w:style>
  <w:style w:type="paragraph" w:styleId="Header">
    <w:name w:val="header"/>
    <w:basedOn w:val="Normal"/>
    <w:link w:val="HeaderChar"/>
    <w:uiPriority w:val="99"/>
    <w:semiHidden/>
    <w:unhideWhenUsed/>
    <w:rsid w:val="000E2782"/>
    <w:pPr>
      <w:tabs>
        <w:tab w:val="center" w:pos="4680"/>
        <w:tab w:val="right" w:pos="9360"/>
      </w:tabs>
    </w:pPr>
  </w:style>
  <w:style w:type="character" w:customStyle="1" w:styleId="HeaderChar">
    <w:name w:val="Header Char"/>
    <w:basedOn w:val="DefaultParagraphFont"/>
    <w:link w:val="Header"/>
    <w:uiPriority w:val="99"/>
    <w:semiHidden/>
    <w:rsid w:val="000E27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782"/>
    <w:pPr>
      <w:tabs>
        <w:tab w:val="center" w:pos="4680"/>
        <w:tab w:val="right" w:pos="9360"/>
      </w:tabs>
    </w:pPr>
  </w:style>
  <w:style w:type="character" w:customStyle="1" w:styleId="FooterChar">
    <w:name w:val="Footer Char"/>
    <w:basedOn w:val="DefaultParagraphFont"/>
    <w:link w:val="Footer"/>
    <w:uiPriority w:val="99"/>
    <w:rsid w:val="000E27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C2FB-0617-4170-B01E-0C5AC950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swazilii</cp:lastModifiedBy>
  <cp:revision>2</cp:revision>
  <cp:lastPrinted>2013-11-14T07:13:00Z</cp:lastPrinted>
  <dcterms:created xsi:type="dcterms:W3CDTF">2013-11-14T07:20:00Z</dcterms:created>
  <dcterms:modified xsi:type="dcterms:W3CDTF">2013-11-14T07:20:00Z</dcterms:modified>
</cp:coreProperties>
</file>