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FE3" w:rsidRDefault="00C75FE3" w:rsidP="00C75FE3">
      <w:pPr>
        <w:jc w:val="center"/>
        <w:rPr>
          <w:b/>
          <w:sz w:val="32"/>
          <w:szCs w:val="32"/>
        </w:rPr>
      </w:pPr>
      <w:bookmarkStart w:id="0" w:name="_GoBack"/>
      <w:bookmarkEnd w:id="0"/>
      <w:r>
        <w:rPr>
          <w:noProof/>
          <w:lang w:val="en-ZA" w:eastAsia="en-ZA"/>
        </w:rPr>
        <w:drawing>
          <wp:inline distT="0" distB="0" distL="0" distR="0">
            <wp:extent cx="1504950" cy="942975"/>
            <wp:effectExtent l="19050" t="0" r="0" b="0"/>
            <wp:docPr id="3"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1504950" cy="942975"/>
                    </a:xfrm>
                    <a:prstGeom prst="rect">
                      <a:avLst/>
                    </a:prstGeom>
                    <a:noFill/>
                    <a:ln w="9525">
                      <a:noFill/>
                      <a:miter lim="800000"/>
                      <a:headEnd/>
                      <a:tailEnd/>
                    </a:ln>
                  </pic:spPr>
                </pic:pic>
              </a:graphicData>
            </a:graphic>
          </wp:inline>
        </w:drawing>
      </w:r>
      <w:r>
        <w:rPr>
          <w:b/>
          <w:sz w:val="32"/>
          <w:szCs w:val="32"/>
        </w:rPr>
        <w:t xml:space="preserve">                   </w:t>
      </w:r>
    </w:p>
    <w:p w:rsidR="00C75FE3" w:rsidRDefault="00C75FE3" w:rsidP="00C75FE3">
      <w:r>
        <w:t xml:space="preserve">                                          </w:t>
      </w:r>
      <w:r>
        <w:rPr>
          <w:noProof/>
        </w:rPr>
        <w:t xml:space="preserve">             </w:t>
      </w:r>
    </w:p>
    <w:p w:rsidR="00C75FE3" w:rsidRDefault="00C75FE3" w:rsidP="00C75FE3"/>
    <w:p w:rsidR="00C75FE3" w:rsidRDefault="00C75FE3" w:rsidP="00C75FE3">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C75FE3" w:rsidRPr="00D76BB8" w:rsidRDefault="00C75FE3" w:rsidP="00C75FE3">
      <w:pPr>
        <w:jc w:val="center"/>
        <w:rPr>
          <w:b/>
          <w:sz w:val="32"/>
          <w:szCs w:val="32"/>
          <w:u w:val="single"/>
        </w:rPr>
      </w:pPr>
    </w:p>
    <w:p w:rsidR="00C75FE3" w:rsidRDefault="00C75FE3" w:rsidP="00C75FE3">
      <w:pPr>
        <w:jc w:val="center"/>
        <w:rPr>
          <w:b/>
          <w:sz w:val="32"/>
          <w:szCs w:val="32"/>
        </w:rPr>
      </w:pPr>
      <w:r>
        <w:rPr>
          <w:b/>
          <w:sz w:val="32"/>
          <w:szCs w:val="32"/>
        </w:rPr>
        <w:t xml:space="preserve">JUDGMENT </w:t>
      </w:r>
    </w:p>
    <w:p w:rsidR="00C75FE3" w:rsidRPr="00BD0146" w:rsidRDefault="00C75FE3" w:rsidP="00C75FE3">
      <w:pPr>
        <w:jc w:val="center"/>
        <w:rPr>
          <w:b/>
          <w:sz w:val="32"/>
          <w:szCs w:val="32"/>
        </w:rPr>
      </w:pPr>
    </w:p>
    <w:p w:rsidR="00C75FE3" w:rsidRDefault="00C75FE3" w:rsidP="00C75FE3">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Case No. 203</w:t>
      </w:r>
      <w:r w:rsidR="006464C1">
        <w:rPr>
          <w:sz w:val="26"/>
          <w:szCs w:val="26"/>
        </w:rPr>
        <w:t>9</w:t>
      </w:r>
      <w:r>
        <w:rPr>
          <w:sz w:val="26"/>
          <w:szCs w:val="26"/>
        </w:rPr>
        <w:t>/2012</w:t>
      </w:r>
    </w:p>
    <w:p w:rsidR="00C75FE3" w:rsidRDefault="00C75FE3" w:rsidP="00C75FE3">
      <w:pPr>
        <w:jc w:val="both"/>
        <w:rPr>
          <w:sz w:val="26"/>
          <w:szCs w:val="26"/>
        </w:rPr>
      </w:pPr>
      <w:r>
        <w:rPr>
          <w:sz w:val="26"/>
          <w:szCs w:val="26"/>
        </w:rPr>
        <w:t xml:space="preserve">In the matter between: </w:t>
      </w:r>
    </w:p>
    <w:p w:rsidR="00C75FE3" w:rsidRDefault="00C75FE3" w:rsidP="00C75FE3">
      <w:pPr>
        <w:jc w:val="both"/>
        <w:rPr>
          <w:sz w:val="26"/>
          <w:szCs w:val="26"/>
        </w:rPr>
      </w:pPr>
    </w:p>
    <w:p w:rsidR="00C75FE3" w:rsidRDefault="00C75FE3" w:rsidP="00C75FE3">
      <w:pPr>
        <w:spacing w:line="360" w:lineRule="auto"/>
        <w:ind w:left="2880" w:hanging="2880"/>
        <w:jc w:val="both"/>
        <w:rPr>
          <w:b/>
          <w:sz w:val="26"/>
          <w:szCs w:val="26"/>
        </w:rPr>
      </w:pPr>
      <w:r>
        <w:rPr>
          <w:b/>
          <w:sz w:val="26"/>
          <w:szCs w:val="26"/>
        </w:rPr>
        <w:t>GIGI A. REID ATTORNEYS</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App</w:t>
      </w:r>
      <w:r w:rsidR="00850B2D">
        <w:rPr>
          <w:b/>
          <w:sz w:val="26"/>
          <w:szCs w:val="26"/>
        </w:rPr>
        <w:t>ell</w:t>
      </w:r>
      <w:r>
        <w:rPr>
          <w:b/>
          <w:sz w:val="26"/>
          <w:szCs w:val="26"/>
        </w:rPr>
        <w:t xml:space="preserve">ant  </w:t>
      </w:r>
    </w:p>
    <w:p w:rsidR="00C75FE3" w:rsidRDefault="00C75FE3" w:rsidP="00C75FE3">
      <w:pPr>
        <w:spacing w:line="276" w:lineRule="auto"/>
        <w:ind w:left="2880" w:hanging="2880"/>
        <w:jc w:val="both"/>
        <w:rPr>
          <w:sz w:val="26"/>
          <w:szCs w:val="26"/>
        </w:rPr>
      </w:pPr>
    </w:p>
    <w:p w:rsidR="00C75FE3" w:rsidRPr="00F2715F" w:rsidRDefault="003F1D23" w:rsidP="00C75FE3">
      <w:pPr>
        <w:spacing w:line="276" w:lineRule="auto"/>
        <w:ind w:left="2880" w:hanging="2880"/>
        <w:jc w:val="both"/>
        <w:rPr>
          <w:sz w:val="26"/>
          <w:szCs w:val="26"/>
        </w:rPr>
      </w:pPr>
      <w:proofErr w:type="gramStart"/>
      <w:r>
        <w:rPr>
          <w:sz w:val="26"/>
          <w:szCs w:val="26"/>
        </w:rPr>
        <w:t>a</w:t>
      </w:r>
      <w:r w:rsidR="00C75FE3" w:rsidRPr="00F2715F">
        <w:rPr>
          <w:sz w:val="26"/>
          <w:szCs w:val="26"/>
        </w:rPr>
        <w:t>nd</w:t>
      </w:r>
      <w:proofErr w:type="gramEnd"/>
      <w:r w:rsidR="00C75FE3" w:rsidRPr="00F2715F">
        <w:rPr>
          <w:sz w:val="26"/>
          <w:szCs w:val="26"/>
        </w:rPr>
        <w:t xml:space="preserve"> </w:t>
      </w:r>
    </w:p>
    <w:p w:rsidR="00C75FE3" w:rsidRDefault="00C75FE3" w:rsidP="00C75FE3">
      <w:pPr>
        <w:pStyle w:val="NoSpacing"/>
      </w:pPr>
    </w:p>
    <w:p w:rsidR="00C75FE3" w:rsidRDefault="00C75FE3" w:rsidP="00C75FE3">
      <w:pPr>
        <w:spacing w:line="360" w:lineRule="auto"/>
        <w:jc w:val="both"/>
        <w:rPr>
          <w:b/>
          <w:sz w:val="26"/>
          <w:szCs w:val="26"/>
        </w:rPr>
      </w:pPr>
      <w:r>
        <w:rPr>
          <w:b/>
          <w:sz w:val="26"/>
          <w:szCs w:val="26"/>
        </w:rPr>
        <w:t>SWAZILAND LAW SOCIETY DISCIPLINARY</w:t>
      </w:r>
    </w:p>
    <w:p w:rsidR="00C75FE3" w:rsidRDefault="00C75FE3" w:rsidP="00C75FE3">
      <w:pPr>
        <w:spacing w:line="360" w:lineRule="auto"/>
        <w:jc w:val="both"/>
        <w:rPr>
          <w:b/>
          <w:sz w:val="26"/>
          <w:szCs w:val="26"/>
        </w:rPr>
      </w:pPr>
      <w:r>
        <w:rPr>
          <w:b/>
          <w:sz w:val="26"/>
          <w:szCs w:val="26"/>
        </w:rPr>
        <w:t>TRIBUNAL</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1</w:t>
      </w:r>
      <w:r w:rsidRPr="00F13278">
        <w:rPr>
          <w:b/>
          <w:sz w:val="26"/>
          <w:szCs w:val="26"/>
          <w:vertAlign w:val="superscript"/>
        </w:rPr>
        <w:t>st</w:t>
      </w:r>
      <w:r>
        <w:rPr>
          <w:b/>
          <w:sz w:val="26"/>
          <w:szCs w:val="26"/>
        </w:rPr>
        <w:tab/>
        <w:t>Respondent</w:t>
      </w:r>
    </w:p>
    <w:p w:rsidR="00C75FE3" w:rsidRDefault="00C75FE3" w:rsidP="00C75FE3">
      <w:pPr>
        <w:spacing w:line="360" w:lineRule="auto"/>
        <w:jc w:val="both"/>
        <w:rPr>
          <w:b/>
          <w:sz w:val="26"/>
          <w:szCs w:val="26"/>
        </w:rPr>
      </w:pPr>
      <w:r>
        <w:rPr>
          <w:b/>
          <w:sz w:val="26"/>
          <w:szCs w:val="26"/>
        </w:rPr>
        <w:t>LAW SOCIETY</w:t>
      </w:r>
      <w:r w:rsidRPr="00C75FE3">
        <w:rPr>
          <w:b/>
          <w:sz w:val="26"/>
          <w:szCs w:val="26"/>
        </w:rPr>
        <w:t xml:space="preserve"> </w:t>
      </w:r>
      <w:r>
        <w:rPr>
          <w:b/>
          <w:sz w:val="26"/>
          <w:szCs w:val="26"/>
        </w:rPr>
        <w:t>OF SWAZILAND</w:t>
      </w:r>
      <w:r>
        <w:rPr>
          <w:b/>
          <w:sz w:val="26"/>
          <w:szCs w:val="26"/>
        </w:rPr>
        <w:tab/>
      </w:r>
      <w:r>
        <w:rPr>
          <w:b/>
          <w:sz w:val="26"/>
          <w:szCs w:val="26"/>
        </w:rPr>
        <w:tab/>
      </w:r>
      <w:r>
        <w:rPr>
          <w:b/>
          <w:sz w:val="26"/>
          <w:szCs w:val="26"/>
        </w:rPr>
        <w:tab/>
      </w:r>
      <w:r>
        <w:rPr>
          <w:b/>
          <w:sz w:val="26"/>
          <w:szCs w:val="26"/>
        </w:rPr>
        <w:tab/>
      </w:r>
      <w:r>
        <w:rPr>
          <w:b/>
          <w:sz w:val="26"/>
          <w:szCs w:val="26"/>
        </w:rPr>
        <w:tab/>
        <w:t>2</w:t>
      </w:r>
      <w:r w:rsidRPr="00F13278">
        <w:rPr>
          <w:b/>
          <w:sz w:val="26"/>
          <w:szCs w:val="26"/>
          <w:vertAlign w:val="superscript"/>
        </w:rPr>
        <w:t>nd</w:t>
      </w:r>
      <w:r>
        <w:rPr>
          <w:b/>
          <w:sz w:val="26"/>
          <w:szCs w:val="26"/>
        </w:rPr>
        <w:t xml:space="preserve"> </w:t>
      </w:r>
      <w:r>
        <w:rPr>
          <w:b/>
          <w:sz w:val="26"/>
          <w:szCs w:val="26"/>
        </w:rPr>
        <w:tab/>
        <w:t>Respondent</w:t>
      </w:r>
    </w:p>
    <w:p w:rsidR="00C75FE3" w:rsidRDefault="00C75FE3" w:rsidP="00C75FE3">
      <w:pPr>
        <w:spacing w:line="360" w:lineRule="auto"/>
        <w:jc w:val="both"/>
        <w:rPr>
          <w:b/>
          <w:sz w:val="26"/>
          <w:szCs w:val="26"/>
        </w:rPr>
      </w:pPr>
      <w:r>
        <w:rPr>
          <w:b/>
          <w:sz w:val="26"/>
          <w:szCs w:val="26"/>
        </w:rPr>
        <w:t>FAIZEL LATIFF</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3</w:t>
      </w:r>
      <w:r w:rsidRPr="00043CD3">
        <w:rPr>
          <w:b/>
          <w:sz w:val="26"/>
          <w:szCs w:val="26"/>
          <w:vertAlign w:val="superscript"/>
        </w:rPr>
        <w:t>rd</w:t>
      </w:r>
      <w:r>
        <w:rPr>
          <w:b/>
          <w:sz w:val="26"/>
          <w:szCs w:val="26"/>
        </w:rPr>
        <w:t xml:space="preserve">  </w:t>
      </w:r>
      <w:r>
        <w:rPr>
          <w:b/>
          <w:sz w:val="26"/>
          <w:szCs w:val="26"/>
        </w:rPr>
        <w:tab/>
        <w:t>Respondent</w:t>
      </w:r>
    </w:p>
    <w:p w:rsidR="00C75FE3" w:rsidRDefault="00C75FE3" w:rsidP="00C75FE3">
      <w:pPr>
        <w:spacing w:line="360" w:lineRule="auto"/>
        <w:jc w:val="both"/>
        <w:rPr>
          <w:b/>
          <w:sz w:val="26"/>
          <w:szCs w:val="26"/>
        </w:rPr>
      </w:pPr>
    </w:p>
    <w:p w:rsidR="00C75FE3" w:rsidRPr="00EA27D0" w:rsidRDefault="00C75FE3" w:rsidP="00C75FE3">
      <w:pPr>
        <w:spacing w:line="360" w:lineRule="auto"/>
        <w:ind w:left="2160" w:hanging="2160"/>
        <w:jc w:val="both"/>
        <w:rPr>
          <w:b/>
          <w:i/>
          <w:sz w:val="26"/>
          <w:szCs w:val="26"/>
        </w:rPr>
      </w:pPr>
      <w:r>
        <w:rPr>
          <w:b/>
          <w:sz w:val="26"/>
          <w:szCs w:val="26"/>
        </w:rPr>
        <w:t>Neutral citation:</w:t>
      </w:r>
      <w:r>
        <w:rPr>
          <w:b/>
          <w:sz w:val="26"/>
          <w:szCs w:val="26"/>
        </w:rPr>
        <w:tab/>
      </w:r>
      <w:r>
        <w:rPr>
          <w:b/>
          <w:i/>
          <w:sz w:val="26"/>
          <w:szCs w:val="26"/>
        </w:rPr>
        <w:t xml:space="preserve">Gigi A. Reid Attorneys </w:t>
      </w:r>
      <w:r w:rsidRPr="00EA27D0">
        <w:rPr>
          <w:b/>
          <w:i/>
          <w:sz w:val="26"/>
          <w:szCs w:val="26"/>
        </w:rPr>
        <w:t xml:space="preserve">v </w:t>
      </w:r>
      <w:r>
        <w:rPr>
          <w:b/>
          <w:i/>
          <w:sz w:val="26"/>
          <w:szCs w:val="26"/>
        </w:rPr>
        <w:t xml:space="preserve">Swaziland Law Society Disciplinary Tribunal &amp; 2 Others </w:t>
      </w:r>
      <w:r w:rsidRPr="00EA27D0">
        <w:rPr>
          <w:b/>
          <w:i/>
          <w:sz w:val="26"/>
          <w:szCs w:val="26"/>
        </w:rPr>
        <w:t>(</w:t>
      </w:r>
      <w:r>
        <w:rPr>
          <w:b/>
          <w:i/>
          <w:sz w:val="26"/>
          <w:szCs w:val="26"/>
        </w:rPr>
        <w:t>203</w:t>
      </w:r>
      <w:r w:rsidR="006464C1">
        <w:rPr>
          <w:b/>
          <w:i/>
          <w:sz w:val="26"/>
          <w:szCs w:val="26"/>
        </w:rPr>
        <w:t>9</w:t>
      </w:r>
      <w:r>
        <w:rPr>
          <w:b/>
          <w:i/>
          <w:sz w:val="26"/>
          <w:szCs w:val="26"/>
        </w:rPr>
        <w:t>/</w:t>
      </w:r>
      <w:r w:rsidRPr="00EA27D0">
        <w:rPr>
          <w:b/>
          <w:i/>
          <w:sz w:val="26"/>
          <w:szCs w:val="26"/>
        </w:rPr>
        <w:t>20</w:t>
      </w:r>
      <w:r>
        <w:rPr>
          <w:b/>
          <w:i/>
          <w:sz w:val="26"/>
          <w:szCs w:val="26"/>
        </w:rPr>
        <w:t>12</w:t>
      </w:r>
      <w:r w:rsidRPr="00EA27D0">
        <w:rPr>
          <w:b/>
          <w:i/>
          <w:sz w:val="26"/>
          <w:szCs w:val="26"/>
        </w:rPr>
        <w:t>) [201</w:t>
      </w:r>
      <w:r>
        <w:rPr>
          <w:b/>
          <w:i/>
          <w:sz w:val="26"/>
          <w:szCs w:val="26"/>
        </w:rPr>
        <w:t>4</w:t>
      </w:r>
      <w:r w:rsidRPr="00EA27D0">
        <w:rPr>
          <w:b/>
          <w:i/>
          <w:sz w:val="26"/>
          <w:szCs w:val="26"/>
        </w:rPr>
        <w:t xml:space="preserve">] SZHC </w:t>
      </w:r>
      <w:r w:rsidR="00BB00E2">
        <w:rPr>
          <w:b/>
          <w:i/>
          <w:sz w:val="26"/>
          <w:szCs w:val="26"/>
        </w:rPr>
        <w:t>21</w:t>
      </w:r>
      <w:r w:rsidRPr="00EA27D0">
        <w:rPr>
          <w:b/>
          <w:i/>
          <w:sz w:val="26"/>
          <w:szCs w:val="26"/>
        </w:rPr>
        <w:t>(</w:t>
      </w:r>
      <w:r w:rsidR="00F7316F">
        <w:rPr>
          <w:b/>
          <w:i/>
          <w:sz w:val="26"/>
          <w:szCs w:val="26"/>
        </w:rPr>
        <w:t>7</w:t>
      </w:r>
      <w:r w:rsidR="003F1D23" w:rsidRPr="003F1D23">
        <w:rPr>
          <w:b/>
          <w:i/>
          <w:sz w:val="26"/>
          <w:szCs w:val="26"/>
          <w:vertAlign w:val="superscript"/>
        </w:rPr>
        <w:t>th</w:t>
      </w:r>
      <w:r w:rsidR="003F1D23">
        <w:rPr>
          <w:b/>
          <w:i/>
          <w:sz w:val="26"/>
          <w:szCs w:val="26"/>
        </w:rPr>
        <w:t xml:space="preserve"> </w:t>
      </w:r>
      <w:r>
        <w:rPr>
          <w:b/>
          <w:i/>
          <w:sz w:val="26"/>
          <w:szCs w:val="26"/>
        </w:rPr>
        <w:t xml:space="preserve">March </w:t>
      </w:r>
      <w:r w:rsidRPr="00EA27D0">
        <w:rPr>
          <w:b/>
          <w:i/>
          <w:sz w:val="26"/>
          <w:szCs w:val="26"/>
        </w:rPr>
        <w:t>201</w:t>
      </w:r>
      <w:r>
        <w:rPr>
          <w:b/>
          <w:i/>
          <w:sz w:val="26"/>
          <w:szCs w:val="26"/>
        </w:rPr>
        <w:t>4</w:t>
      </w:r>
      <w:r w:rsidRPr="00EA27D0">
        <w:rPr>
          <w:b/>
          <w:i/>
          <w:sz w:val="26"/>
          <w:szCs w:val="26"/>
        </w:rPr>
        <w:t>)</w:t>
      </w:r>
    </w:p>
    <w:p w:rsidR="00C75FE3" w:rsidRDefault="00C75FE3" w:rsidP="00C75FE3">
      <w:pPr>
        <w:jc w:val="both"/>
        <w:rPr>
          <w:sz w:val="26"/>
          <w:szCs w:val="26"/>
        </w:rPr>
      </w:pPr>
    </w:p>
    <w:p w:rsidR="00C75FE3" w:rsidRPr="00EA27D0" w:rsidRDefault="00C75FE3" w:rsidP="00C75FE3">
      <w:pPr>
        <w:jc w:val="both"/>
        <w:rPr>
          <w:b/>
          <w:sz w:val="26"/>
          <w:szCs w:val="26"/>
        </w:rPr>
      </w:pPr>
      <w:r w:rsidRPr="00415520">
        <w:rPr>
          <w:b/>
          <w:sz w:val="26"/>
          <w:szCs w:val="26"/>
        </w:rPr>
        <w:t>Coram:</w:t>
      </w:r>
      <w:r>
        <w:rPr>
          <w:sz w:val="26"/>
          <w:szCs w:val="26"/>
        </w:rPr>
        <w:tab/>
      </w:r>
      <w:r>
        <w:rPr>
          <w:sz w:val="26"/>
          <w:szCs w:val="26"/>
        </w:rPr>
        <w:tab/>
      </w:r>
      <w:r w:rsidRPr="00EA27D0">
        <w:rPr>
          <w:b/>
          <w:sz w:val="26"/>
          <w:szCs w:val="26"/>
        </w:rPr>
        <w:t xml:space="preserve">M. </w:t>
      </w:r>
      <w:proofErr w:type="spellStart"/>
      <w:r w:rsidRPr="00EA27D0">
        <w:rPr>
          <w:b/>
          <w:sz w:val="26"/>
          <w:szCs w:val="26"/>
        </w:rPr>
        <w:t>Dlamini</w:t>
      </w:r>
      <w:proofErr w:type="spellEnd"/>
      <w:r w:rsidRPr="00EA27D0">
        <w:rPr>
          <w:b/>
          <w:sz w:val="26"/>
          <w:szCs w:val="26"/>
        </w:rPr>
        <w:t xml:space="preserve"> J.</w:t>
      </w:r>
    </w:p>
    <w:p w:rsidR="00C75FE3" w:rsidRDefault="00C75FE3" w:rsidP="00C75FE3">
      <w:pPr>
        <w:jc w:val="both"/>
        <w:rPr>
          <w:sz w:val="26"/>
          <w:szCs w:val="26"/>
        </w:rPr>
      </w:pPr>
    </w:p>
    <w:p w:rsidR="00C75FE3" w:rsidRDefault="00C75FE3" w:rsidP="00C75FE3">
      <w:pPr>
        <w:jc w:val="both"/>
        <w:rPr>
          <w:sz w:val="26"/>
          <w:szCs w:val="26"/>
        </w:rPr>
      </w:pPr>
      <w:r w:rsidRPr="00415520">
        <w:rPr>
          <w:b/>
          <w:sz w:val="26"/>
          <w:szCs w:val="26"/>
        </w:rPr>
        <w:t>Heard:</w:t>
      </w:r>
      <w:r>
        <w:rPr>
          <w:sz w:val="26"/>
          <w:szCs w:val="26"/>
        </w:rPr>
        <w:tab/>
      </w:r>
      <w:r>
        <w:rPr>
          <w:sz w:val="26"/>
          <w:szCs w:val="26"/>
        </w:rPr>
        <w:tab/>
      </w:r>
      <w:proofErr w:type="gramStart"/>
      <w:r w:rsidR="003F1D23">
        <w:rPr>
          <w:b/>
          <w:sz w:val="26"/>
          <w:szCs w:val="26"/>
        </w:rPr>
        <w:t>6</w:t>
      </w:r>
      <w:r w:rsidR="003F1D23" w:rsidRPr="00F7316F">
        <w:rPr>
          <w:b/>
          <w:sz w:val="26"/>
          <w:szCs w:val="26"/>
          <w:vertAlign w:val="superscript"/>
        </w:rPr>
        <w:t>th</w:t>
      </w:r>
      <w:r w:rsidR="00F7316F">
        <w:rPr>
          <w:b/>
          <w:sz w:val="26"/>
          <w:szCs w:val="26"/>
        </w:rPr>
        <w:t xml:space="preserve"> </w:t>
      </w:r>
      <w:r w:rsidR="003F1D23">
        <w:rPr>
          <w:b/>
          <w:sz w:val="26"/>
          <w:szCs w:val="26"/>
        </w:rPr>
        <w:t xml:space="preserve"> </w:t>
      </w:r>
      <w:r w:rsidR="003F1D23" w:rsidRPr="003F1D23">
        <w:rPr>
          <w:b/>
          <w:sz w:val="26"/>
          <w:szCs w:val="26"/>
        </w:rPr>
        <w:t>March</w:t>
      </w:r>
      <w:proofErr w:type="gramEnd"/>
      <w:r>
        <w:rPr>
          <w:b/>
          <w:sz w:val="26"/>
          <w:szCs w:val="26"/>
        </w:rPr>
        <w:t xml:space="preserve"> 2014</w:t>
      </w:r>
    </w:p>
    <w:p w:rsidR="00C75FE3" w:rsidRDefault="00C75FE3" w:rsidP="00C75FE3">
      <w:pPr>
        <w:jc w:val="both"/>
        <w:rPr>
          <w:sz w:val="26"/>
          <w:szCs w:val="26"/>
        </w:rPr>
      </w:pPr>
    </w:p>
    <w:p w:rsidR="00C75FE3" w:rsidRDefault="00C75FE3" w:rsidP="00C75FE3">
      <w:pPr>
        <w:jc w:val="both"/>
        <w:rPr>
          <w:sz w:val="26"/>
          <w:szCs w:val="26"/>
        </w:rPr>
      </w:pPr>
      <w:r w:rsidRPr="00415520">
        <w:rPr>
          <w:b/>
          <w:sz w:val="26"/>
          <w:szCs w:val="26"/>
        </w:rPr>
        <w:t>Delivered:</w:t>
      </w:r>
      <w:r>
        <w:rPr>
          <w:sz w:val="26"/>
          <w:szCs w:val="26"/>
        </w:rPr>
        <w:tab/>
      </w:r>
      <w:r>
        <w:rPr>
          <w:sz w:val="26"/>
          <w:szCs w:val="26"/>
        </w:rPr>
        <w:tab/>
      </w:r>
      <w:r w:rsidR="003F1D23">
        <w:rPr>
          <w:b/>
          <w:sz w:val="26"/>
          <w:szCs w:val="26"/>
        </w:rPr>
        <w:t>7</w:t>
      </w:r>
      <w:r w:rsidR="003F1D23" w:rsidRPr="003F1D23">
        <w:rPr>
          <w:b/>
          <w:sz w:val="26"/>
          <w:szCs w:val="26"/>
          <w:vertAlign w:val="superscript"/>
        </w:rPr>
        <w:t>th</w:t>
      </w:r>
      <w:r w:rsidR="003F1D23" w:rsidRPr="003F1D23">
        <w:rPr>
          <w:b/>
          <w:sz w:val="26"/>
          <w:szCs w:val="26"/>
        </w:rPr>
        <w:t xml:space="preserve"> M</w:t>
      </w:r>
      <w:r w:rsidRPr="003F1D23">
        <w:rPr>
          <w:b/>
          <w:sz w:val="26"/>
          <w:szCs w:val="26"/>
        </w:rPr>
        <w:t>arch</w:t>
      </w:r>
      <w:r w:rsidRPr="00C17665">
        <w:rPr>
          <w:b/>
          <w:sz w:val="26"/>
          <w:szCs w:val="26"/>
        </w:rPr>
        <w:t xml:space="preserve"> 2014</w:t>
      </w:r>
    </w:p>
    <w:p w:rsidR="00C75FE3" w:rsidRDefault="00C75FE3" w:rsidP="00C75FE3">
      <w:pPr>
        <w:spacing w:line="360" w:lineRule="auto"/>
        <w:ind w:left="1440" w:hanging="1440"/>
        <w:jc w:val="both"/>
        <w:rPr>
          <w:sz w:val="26"/>
          <w:szCs w:val="26"/>
        </w:rPr>
      </w:pPr>
      <w:r>
        <w:rPr>
          <w:sz w:val="26"/>
          <w:szCs w:val="26"/>
        </w:rPr>
        <w:tab/>
      </w:r>
    </w:p>
    <w:p w:rsidR="00C75FE3" w:rsidRDefault="00BB00E2" w:rsidP="00BB00E2">
      <w:pPr>
        <w:spacing w:line="360" w:lineRule="auto"/>
        <w:ind w:left="2160"/>
        <w:jc w:val="both"/>
        <w:rPr>
          <w:i/>
          <w:sz w:val="26"/>
          <w:szCs w:val="26"/>
        </w:rPr>
      </w:pPr>
      <w:r w:rsidRPr="00BB00E2">
        <w:rPr>
          <w:i/>
          <w:sz w:val="26"/>
          <w:szCs w:val="26"/>
        </w:rPr>
        <w:t>Application for leave to appeal – prospects of success – applicant claiming both legal costs and collection commission – not permissible in law</w:t>
      </w:r>
      <w:r w:rsidR="003F1D23">
        <w:rPr>
          <w:i/>
          <w:sz w:val="26"/>
          <w:szCs w:val="26"/>
        </w:rPr>
        <w:t xml:space="preserve"> by reason that it would result in double charges </w:t>
      </w:r>
      <w:r w:rsidR="003F1D23">
        <w:rPr>
          <w:sz w:val="26"/>
          <w:szCs w:val="26"/>
        </w:rPr>
        <w:t xml:space="preserve">– </w:t>
      </w:r>
      <w:r w:rsidR="003F1D23">
        <w:rPr>
          <w:i/>
          <w:sz w:val="26"/>
          <w:szCs w:val="26"/>
        </w:rPr>
        <w:lastRenderedPageBreak/>
        <w:t>where a collection agent incurs disbursement during collection, such are not be borne by principal.</w:t>
      </w:r>
    </w:p>
    <w:p w:rsidR="003F1D23" w:rsidRPr="003F1D23" w:rsidRDefault="003F1D23" w:rsidP="00BB00E2">
      <w:pPr>
        <w:spacing w:line="360" w:lineRule="auto"/>
        <w:ind w:left="2160"/>
        <w:jc w:val="both"/>
        <w:rPr>
          <w:i/>
          <w:sz w:val="26"/>
          <w:szCs w:val="26"/>
        </w:rPr>
      </w:pPr>
    </w:p>
    <w:p w:rsidR="0025438B" w:rsidRDefault="00C75FE3" w:rsidP="00C75FE3">
      <w:pPr>
        <w:spacing w:line="360" w:lineRule="auto"/>
        <w:ind w:left="1440" w:hanging="1440"/>
        <w:jc w:val="both"/>
        <w:rPr>
          <w:sz w:val="26"/>
          <w:szCs w:val="26"/>
        </w:rPr>
      </w:pPr>
      <w:r>
        <w:rPr>
          <w:sz w:val="26"/>
          <w:szCs w:val="26"/>
        </w:rPr>
        <w:t>Summary:</w:t>
      </w:r>
      <w:r>
        <w:rPr>
          <w:sz w:val="26"/>
          <w:szCs w:val="26"/>
        </w:rPr>
        <w:tab/>
      </w:r>
      <w:r w:rsidR="0025438B">
        <w:rPr>
          <w:sz w:val="26"/>
          <w:szCs w:val="26"/>
        </w:rPr>
        <w:t>By Notice of Motion, the app</w:t>
      </w:r>
      <w:r w:rsidR="006809EC">
        <w:rPr>
          <w:sz w:val="26"/>
          <w:szCs w:val="26"/>
        </w:rPr>
        <w:t>el</w:t>
      </w:r>
      <w:r w:rsidR="0025438B">
        <w:rPr>
          <w:sz w:val="26"/>
          <w:szCs w:val="26"/>
        </w:rPr>
        <w:t xml:space="preserve">lant seeks leave to file its appeal against </w:t>
      </w:r>
      <w:r w:rsidR="007A0972">
        <w:rPr>
          <w:sz w:val="26"/>
          <w:szCs w:val="26"/>
        </w:rPr>
        <w:t>1</w:t>
      </w:r>
      <w:r w:rsidR="0025438B" w:rsidRPr="007A0972">
        <w:rPr>
          <w:sz w:val="26"/>
          <w:szCs w:val="26"/>
          <w:vertAlign w:val="superscript"/>
        </w:rPr>
        <w:t>st</w:t>
      </w:r>
      <w:r w:rsidR="007A0972">
        <w:rPr>
          <w:sz w:val="26"/>
          <w:szCs w:val="26"/>
        </w:rPr>
        <w:t xml:space="preserve"> </w:t>
      </w:r>
      <w:r w:rsidR="0025438B">
        <w:rPr>
          <w:sz w:val="26"/>
          <w:szCs w:val="26"/>
        </w:rPr>
        <w:t>and 2</w:t>
      </w:r>
      <w:r w:rsidR="0025438B" w:rsidRPr="0025438B">
        <w:rPr>
          <w:sz w:val="26"/>
          <w:szCs w:val="26"/>
          <w:vertAlign w:val="superscript"/>
        </w:rPr>
        <w:t>nd</w:t>
      </w:r>
      <w:r w:rsidR="00857E7F">
        <w:rPr>
          <w:sz w:val="26"/>
          <w:szCs w:val="26"/>
        </w:rPr>
        <w:t xml:space="preserve"> respondents’ decision</w:t>
      </w:r>
      <w:r w:rsidR="0025438B">
        <w:rPr>
          <w:sz w:val="26"/>
          <w:szCs w:val="26"/>
        </w:rPr>
        <w:t>.</w:t>
      </w:r>
    </w:p>
    <w:p w:rsidR="0025438B" w:rsidRDefault="0025438B" w:rsidP="00C75FE3">
      <w:pPr>
        <w:spacing w:line="360" w:lineRule="auto"/>
        <w:ind w:left="1440" w:hanging="1440"/>
        <w:jc w:val="both"/>
        <w:rPr>
          <w:sz w:val="26"/>
          <w:szCs w:val="26"/>
        </w:rPr>
      </w:pPr>
    </w:p>
    <w:p w:rsidR="0025438B" w:rsidRPr="0025438B" w:rsidRDefault="0025438B" w:rsidP="00C75FE3">
      <w:pPr>
        <w:spacing w:line="360" w:lineRule="auto"/>
        <w:ind w:left="1440" w:hanging="1440"/>
        <w:jc w:val="both"/>
        <w:rPr>
          <w:sz w:val="26"/>
          <w:szCs w:val="26"/>
          <w:u w:val="single"/>
        </w:rPr>
      </w:pPr>
      <w:r>
        <w:rPr>
          <w:sz w:val="26"/>
          <w:szCs w:val="26"/>
        </w:rPr>
        <w:tab/>
      </w:r>
      <w:r w:rsidRPr="0025438B">
        <w:rPr>
          <w:sz w:val="26"/>
          <w:szCs w:val="26"/>
          <w:u w:val="single"/>
        </w:rPr>
        <w:t>Chronology of events</w:t>
      </w:r>
    </w:p>
    <w:p w:rsidR="0025438B" w:rsidRDefault="0025438B" w:rsidP="00C75FE3">
      <w:pPr>
        <w:spacing w:line="360" w:lineRule="auto"/>
        <w:ind w:left="1440" w:hanging="1440"/>
        <w:jc w:val="both"/>
        <w:rPr>
          <w:sz w:val="26"/>
          <w:szCs w:val="26"/>
        </w:rPr>
      </w:pPr>
    </w:p>
    <w:p w:rsidR="0025438B" w:rsidRDefault="0025438B" w:rsidP="00C75FE3">
      <w:pPr>
        <w:spacing w:line="360" w:lineRule="auto"/>
        <w:ind w:left="1440" w:hanging="1440"/>
        <w:jc w:val="both"/>
        <w:rPr>
          <w:sz w:val="26"/>
          <w:szCs w:val="26"/>
        </w:rPr>
      </w:pPr>
      <w:r>
        <w:rPr>
          <w:sz w:val="26"/>
          <w:szCs w:val="26"/>
        </w:rPr>
        <w:t>[1]</w:t>
      </w:r>
      <w:r>
        <w:rPr>
          <w:sz w:val="26"/>
          <w:szCs w:val="26"/>
        </w:rPr>
        <w:tab/>
        <w:t>The app</w:t>
      </w:r>
      <w:r w:rsidR="00BB00E2">
        <w:rPr>
          <w:sz w:val="26"/>
          <w:szCs w:val="26"/>
        </w:rPr>
        <w:t>el</w:t>
      </w:r>
      <w:r>
        <w:rPr>
          <w:sz w:val="26"/>
          <w:szCs w:val="26"/>
        </w:rPr>
        <w:t>l</w:t>
      </w:r>
      <w:r w:rsidR="00BB00E2">
        <w:rPr>
          <w:sz w:val="26"/>
          <w:szCs w:val="26"/>
        </w:rPr>
        <w:t>a</w:t>
      </w:r>
      <w:r>
        <w:rPr>
          <w:sz w:val="26"/>
          <w:szCs w:val="26"/>
        </w:rPr>
        <w:t>nt, an attorney of this court</w:t>
      </w:r>
      <w:r w:rsidR="0072130C">
        <w:rPr>
          <w:sz w:val="26"/>
          <w:szCs w:val="26"/>
        </w:rPr>
        <w:t>,</w:t>
      </w:r>
      <w:r>
        <w:rPr>
          <w:sz w:val="26"/>
          <w:szCs w:val="26"/>
        </w:rPr>
        <w:t xml:space="preserve"> received instructions from the 2</w:t>
      </w:r>
      <w:r w:rsidRPr="0025438B">
        <w:rPr>
          <w:sz w:val="26"/>
          <w:szCs w:val="26"/>
          <w:vertAlign w:val="superscript"/>
        </w:rPr>
        <w:t>nd</w:t>
      </w:r>
      <w:r>
        <w:rPr>
          <w:sz w:val="26"/>
          <w:szCs w:val="26"/>
        </w:rPr>
        <w:t xml:space="preserve"> responde</w:t>
      </w:r>
      <w:r w:rsidR="007A0972">
        <w:rPr>
          <w:sz w:val="26"/>
          <w:szCs w:val="26"/>
        </w:rPr>
        <w:t>nt</w:t>
      </w:r>
      <w:r>
        <w:rPr>
          <w:sz w:val="26"/>
          <w:szCs w:val="26"/>
        </w:rPr>
        <w:t>, a former director of a company under liquidation.  At the end, the app</w:t>
      </w:r>
      <w:r w:rsidR="006809EC">
        <w:rPr>
          <w:sz w:val="26"/>
          <w:szCs w:val="26"/>
        </w:rPr>
        <w:t>el</w:t>
      </w:r>
      <w:r>
        <w:rPr>
          <w:sz w:val="26"/>
          <w:szCs w:val="26"/>
        </w:rPr>
        <w:t>lant served 3</w:t>
      </w:r>
      <w:r w:rsidRPr="0025438B">
        <w:rPr>
          <w:sz w:val="26"/>
          <w:szCs w:val="26"/>
          <w:vertAlign w:val="superscript"/>
        </w:rPr>
        <w:t>rd</w:t>
      </w:r>
      <w:r>
        <w:rPr>
          <w:sz w:val="26"/>
          <w:szCs w:val="26"/>
        </w:rPr>
        <w:t xml:space="preserve"> respondent with a statement of account.  The 3</w:t>
      </w:r>
      <w:r w:rsidRPr="0025438B">
        <w:rPr>
          <w:sz w:val="26"/>
          <w:szCs w:val="26"/>
          <w:vertAlign w:val="superscript"/>
        </w:rPr>
        <w:t>rd</w:t>
      </w:r>
      <w:r>
        <w:rPr>
          <w:sz w:val="26"/>
          <w:szCs w:val="26"/>
        </w:rPr>
        <w:t xml:space="preserve"> respondent, dissatisfied with the bill of costs, approached 1</w:t>
      </w:r>
      <w:r w:rsidRPr="0025438B">
        <w:rPr>
          <w:sz w:val="26"/>
          <w:szCs w:val="26"/>
          <w:vertAlign w:val="superscript"/>
        </w:rPr>
        <w:t>st</w:t>
      </w:r>
      <w:r>
        <w:rPr>
          <w:sz w:val="26"/>
          <w:szCs w:val="26"/>
        </w:rPr>
        <w:t xml:space="preserve"> respondent for taxation.  The 1</w:t>
      </w:r>
      <w:r w:rsidRPr="0025438B">
        <w:rPr>
          <w:sz w:val="26"/>
          <w:szCs w:val="26"/>
          <w:vertAlign w:val="superscript"/>
        </w:rPr>
        <w:t>st</w:t>
      </w:r>
      <w:r>
        <w:rPr>
          <w:sz w:val="26"/>
          <w:szCs w:val="26"/>
        </w:rPr>
        <w:t xml:space="preserve"> respondent, in taxing the bill, disallowed collection commission and reduced other items in the bill by the sum of E21 699.99.  Whereas the initial bill was for the sum E135 000, after taxation by 1</w:t>
      </w:r>
      <w:r w:rsidRPr="0025438B">
        <w:rPr>
          <w:sz w:val="26"/>
          <w:szCs w:val="26"/>
          <w:vertAlign w:val="superscript"/>
        </w:rPr>
        <w:t>st</w:t>
      </w:r>
      <w:r>
        <w:rPr>
          <w:sz w:val="26"/>
          <w:szCs w:val="26"/>
        </w:rPr>
        <w:t xml:space="preserve"> respondent it reduced to E113 300.01.</w:t>
      </w:r>
    </w:p>
    <w:p w:rsidR="0025438B" w:rsidRDefault="0025438B" w:rsidP="00C75FE3">
      <w:pPr>
        <w:spacing w:line="360" w:lineRule="auto"/>
        <w:ind w:left="1440" w:hanging="1440"/>
        <w:jc w:val="both"/>
        <w:rPr>
          <w:sz w:val="26"/>
          <w:szCs w:val="26"/>
        </w:rPr>
      </w:pPr>
    </w:p>
    <w:p w:rsidR="006464C1" w:rsidRDefault="0025438B" w:rsidP="00C75FE3">
      <w:pPr>
        <w:spacing w:line="360" w:lineRule="auto"/>
        <w:ind w:left="1440" w:hanging="1440"/>
        <w:jc w:val="both"/>
        <w:rPr>
          <w:sz w:val="26"/>
          <w:szCs w:val="26"/>
        </w:rPr>
      </w:pPr>
      <w:r>
        <w:rPr>
          <w:sz w:val="26"/>
          <w:szCs w:val="26"/>
        </w:rPr>
        <w:t>[2]</w:t>
      </w:r>
      <w:r>
        <w:rPr>
          <w:sz w:val="26"/>
          <w:szCs w:val="26"/>
        </w:rPr>
        <w:tab/>
      </w:r>
      <w:r w:rsidR="00C75FE3">
        <w:rPr>
          <w:sz w:val="26"/>
          <w:szCs w:val="26"/>
        </w:rPr>
        <w:t>Following app</w:t>
      </w:r>
      <w:r w:rsidR="006809EC">
        <w:rPr>
          <w:sz w:val="26"/>
          <w:szCs w:val="26"/>
        </w:rPr>
        <w:t>el</w:t>
      </w:r>
      <w:r w:rsidR="00C75FE3">
        <w:rPr>
          <w:sz w:val="26"/>
          <w:szCs w:val="26"/>
        </w:rPr>
        <w:t>lant’s prayer, I ordered that app</w:t>
      </w:r>
      <w:r w:rsidR="00BB00E2">
        <w:rPr>
          <w:sz w:val="26"/>
          <w:szCs w:val="26"/>
        </w:rPr>
        <w:t>el</w:t>
      </w:r>
      <w:r w:rsidR="00C75FE3">
        <w:rPr>
          <w:sz w:val="26"/>
          <w:szCs w:val="26"/>
        </w:rPr>
        <w:t xml:space="preserve">lant </w:t>
      </w:r>
      <w:r w:rsidR="007436B2">
        <w:rPr>
          <w:sz w:val="26"/>
          <w:szCs w:val="26"/>
        </w:rPr>
        <w:t>should</w:t>
      </w:r>
      <w:r w:rsidR="00C75FE3">
        <w:rPr>
          <w:sz w:val="26"/>
          <w:szCs w:val="26"/>
        </w:rPr>
        <w:t xml:space="preserve"> establish prospect</w:t>
      </w:r>
      <w:r w:rsidR="006464C1">
        <w:rPr>
          <w:sz w:val="26"/>
          <w:szCs w:val="26"/>
        </w:rPr>
        <w:t xml:space="preserve"> of success.  The matter was so argued.  The issue was therefore whether app</w:t>
      </w:r>
      <w:r w:rsidR="00BB00E2">
        <w:rPr>
          <w:sz w:val="26"/>
          <w:szCs w:val="26"/>
        </w:rPr>
        <w:t>el</w:t>
      </w:r>
      <w:r w:rsidR="006464C1">
        <w:rPr>
          <w:sz w:val="26"/>
          <w:szCs w:val="26"/>
        </w:rPr>
        <w:t>lant could claim both costs for legal services rendered and collection commission from the app</w:t>
      </w:r>
      <w:r w:rsidR="00BB00E2">
        <w:rPr>
          <w:sz w:val="26"/>
          <w:szCs w:val="26"/>
        </w:rPr>
        <w:t>el</w:t>
      </w:r>
      <w:r w:rsidR="006464C1">
        <w:rPr>
          <w:sz w:val="26"/>
          <w:szCs w:val="26"/>
        </w:rPr>
        <w:t>l</w:t>
      </w:r>
      <w:r w:rsidR="00BB00E2">
        <w:rPr>
          <w:sz w:val="26"/>
          <w:szCs w:val="26"/>
        </w:rPr>
        <w:t>a</w:t>
      </w:r>
      <w:r w:rsidR="006464C1">
        <w:rPr>
          <w:sz w:val="26"/>
          <w:szCs w:val="26"/>
        </w:rPr>
        <w:t>nt.</w:t>
      </w:r>
      <w:r w:rsidR="00BB00E2">
        <w:rPr>
          <w:sz w:val="26"/>
          <w:szCs w:val="26"/>
        </w:rPr>
        <w:t xml:space="preserve">  </w:t>
      </w:r>
      <w:r w:rsidR="006464C1">
        <w:rPr>
          <w:sz w:val="26"/>
          <w:szCs w:val="26"/>
        </w:rPr>
        <w:t>I must hasten to point out that when the matter was first argued, app</w:t>
      </w:r>
      <w:r w:rsidR="006809EC">
        <w:rPr>
          <w:sz w:val="26"/>
          <w:szCs w:val="26"/>
        </w:rPr>
        <w:t>el</w:t>
      </w:r>
      <w:r w:rsidR="006464C1">
        <w:rPr>
          <w:sz w:val="26"/>
          <w:szCs w:val="26"/>
        </w:rPr>
        <w:t>lant challenged both the sum reduced per item and the disallowance of the collection commission.</w:t>
      </w:r>
    </w:p>
    <w:p w:rsidR="006464C1" w:rsidRDefault="006464C1" w:rsidP="00C75FE3">
      <w:pPr>
        <w:spacing w:line="360" w:lineRule="auto"/>
        <w:ind w:left="1440" w:hanging="1440"/>
        <w:jc w:val="both"/>
        <w:rPr>
          <w:sz w:val="26"/>
          <w:szCs w:val="26"/>
        </w:rPr>
      </w:pPr>
    </w:p>
    <w:p w:rsidR="006464C1" w:rsidRDefault="006464C1" w:rsidP="00C75FE3">
      <w:pPr>
        <w:spacing w:line="360" w:lineRule="auto"/>
        <w:ind w:left="1440" w:hanging="1440"/>
        <w:jc w:val="both"/>
        <w:rPr>
          <w:sz w:val="26"/>
          <w:szCs w:val="26"/>
        </w:rPr>
      </w:pPr>
      <w:r>
        <w:rPr>
          <w:sz w:val="26"/>
          <w:szCs w:val="26"/>
        </w:rPr>
        <w:t>[</w:t>
      </w:r>
      <w:r w:rsidR="007A0972">
        <w:rPr>
          <w:sz w:val="26"/>
          <w:szCs w:val="26"/>
        </w:rPr>
        <w:t>4</w:t>
      </w:r>
      <w:r>
        <w:rPr>
          <w:sz w:val="26"/>
          <w:szCs w:val="26"/>
        </w:rPr>
        <w:t>]</w:t>
      </w:r>
      <w:r>
        <w:rPr>
          <w:sz w:val="26"/>
          <w:szCs w:val="26"/>
        </w:rPr>
        <w:tab/>
        <w:t xml:space="preserve">During the submission, upon </w:t>
      </w:r>
      <w:r w:rsidRPr="00BB00E2">
        <w:rPr>
          <w:sz w:val="26"/>
          <w:szCs w:val="26"/>
        </w:rPr>
        <w:t>s</w:t>
      </w:r>
      <w:r w:rsidR="00BB00E2" w:rsidRPr="00BB00E2">
        <w:rPr>
          <w:sz w:val="26"/>
          <w:szCs w:val="26"/>
        </w:rPr>
        <w:t>cru</w:t>
      </w:r>
      <w:r w:rsidRPr="00BB00E2">
        <w:rPr>
          <w:sz w:val="26"/>
          <w:szCs w:val="26"/>
        </w:rPr>
        <w:t>t</w:t>
      </w:r>
      <w:r w:rsidR="00BB00E2" w:rsidRPr="00BB00E2">
        <w:rPr>
          <w:sz w:val="26"/>
          <w:szCs w:val="26"/>
        </w:rPr>
        <w:t>in</w:t>
      </w:r>
      <w:r w:rsidRPr="00BB00E2">
        <w:rPr>
          <w:sz w:val="26"/>
          <w:szCs w:val="26"/>
        </w:rPr>
        <w:t>y</w:t>
      </w:r>
      <w:r w:rsidR="00BB00E2">
        <w:rPr>
          <w:sz w:val="26"/>
          <w:szCs w:val="26"/>
        </w:rPr>
        <w:t xml:space="preserve"> </w:t>
      </w:r>
      <w:r>
        <w:rPr>
          <w:sz w:val="26"/>
          <w:szCs w:val="26"/>
        </w:rPr>
        <w:t>of the record filed on behalf of 1</w:t>
      </w:r>
      <w:r w:rsidRPr="006464C1">
        <w:rPr>
          <w:sz w:val="26"/>
          <w:szCs w:val="26"/>
          <w:vertAlign w:val="superscript"/>
        </w:rPr>
        <w:t>st</w:t>
      </w:r>
      <w:r>
        <w:rPr>
          <w:sz w:val="26"/>
          <w:szCs w:val="26"/>
        </w:rPr>
        <w:t xml:space="preserve"> and 2</w:t>
      </w:r>
      <w:r w:rsidRPr="006464C1">
        <w:rPr>
          <w:sz w:val="26"/>
          <w:szCs w:val="26"/>
          <w:vertAlign w:val="superscript"/>
        </w:rPr>
        <w:t>nd</w:t>
      </w:r>
      <w:r>
        <w:rPr>
          <w:sz w:val="26"/>
          <w:szCs w:val="26"/>
        </w:rPr>
        <w:t xml:space="preserve"> respondents, it became clear that the metho</w:t>
      </w:r>
      <w:r w:rsidR="00812410">
        <w:rPr>
          <w:sz w:val="26"/>
          <w:szCs w:val="26"/>
        </w:rPr>
        <w:t>do</w:t>
      </w:r>
      <w:r>
        <w:rPr>
          <w:sz w:val="26"/>
          <w:szCs w:val="26"/>
        </w:rPr>
        <w:t>logy of reaching the sum of E113</w:t>
      </w:r>
      <w:proofErr w:type="gramStart"/>
      <w:r>
        <w:rPr>
          <w:sz w:val="26"/>
          <w:szCs w:val="26"/>
        </w:rPr>
        <w:t>,300.0</w:t>
      </w:r>
      <w:r w:rsidR="001C46A1">
        <w:rPr>
          <w:sz w:val="26"/>
          <w:szCs w:val="26"/>
        </w:rPr>
        <w:t>1</w:t>
      </w:r>
      <w:proofErr w:type="gramEnd"/>
      <w:r>
        <w:rPr>
          <w:sz w:val="26"/>
          <w:szCs w:val="26"/>
        </w:rPr>
        <w:t xml:space="preserve"> was not clear.  It was assumed by all the parties that the record file</w:t>
      </w:r>
      <w:r w:rsidR="00BB00E2">
        <w:rPr>
          <w:sz w:val="26"/>
          <w:szCs w:val="26"/>
        </w:rPr>
        <w:t>d</w:t>
      </w:r>
      <w:r>
        <w:rPr>
          <w:sz w:val="26"/>
          <w:szCs w:val="26"/>
        </w:rPr>
        <w:t xml:space="preserve"> was incomplete.  By consent of all the parties, the matter was </w:t>
      </w:r>
      <w:r>
        <w:rPr>
          <w:sz w:val="26"/>
          <w:szCs w:val="26"/>
        </w:rPr>
        <w:lastRenderedPageBreak/>
        <w:t>postponed in order to allow the 1</w:t>
      </w:r>
      <w:r w:rsidRPr="006464C1">
        <w:rPr>
          <w:sz w:val="26"/>
          <w:szCs w:val="26"/>
          <w:vertAlign w:val="superscript"/>
        </w:rPr>
        <w:t>st</w:t>
      </w:r>
      <w:r>
        <w:rPr>
          <w:sz w:val="26"/>
          <w:szCs w:val="26"/>
        </w:rPr>
        <w:t xml:space="preserve"> and 2</w:t>
      </w:r>
      <w:r w:rsidRPr="006464C1">
        <w:rPr>
          <w:sz w:val="26"/>
          <w:szCs w:val="26"/>
          <w:vertAlign w:val="superscript"/>
        </w:rPr>
        <w:t>nd</w:t>
      </w:r>
      <w:r>
        <w:rPr>
          <w:sz w:val="26"/>
          <w:szCs w:val="26"/>
        </w:rPr>
        <w:t xml:space="preserve"> respondents to file a complete record.</w:t>
      </w:r>
    </w:p>
    <w:p w:rsidR="007436B2" w:rsidRDefault="007436B2" w:rsidP="00C75FE3">
      <w:pPr>
        <w:spacing w:line="360" w:lineRule="auto"/>
        <w:ind w:left="1440" w:hanging="1440"/>
        <w:jc w:val="both"/>
        <w:rPr>
          <w:sz w:val="26"/>
          <w:szCs w:val="26"/>
        </w:rPr>
      </w:pPr>
    </w:p>
    <w:p w:rsidR="006464C1" w:rsidRPr="006464C1" w:rsidRDefault="006464C1" w:rsidP="00C75FE3">
      <w:pPr>
        <w:spacing w:line="360" w:lineRule="auto"/>
        <w:ind w:left="1440" w:hanging="1440"/>
        <w:jc w:val="both"/>
        <w:rPr>
          <w:sz w:val="26"/>
          <w:szCs w:val="26"/>
        </w:rPr>
      </w:pPr>
      <w:r>
        <w:rPr>
          <w:sz w:val="26"/>
          <w:szCs w:val="26"/>
        </w:rPr>
        <w:t>[</w:t>
      </w:r>
      <w:r w:rsidR="007A0972">
        <w:rPr>
          <w:sz w:val="26"/>
          <w:szCs w:val="26"/>
        </w:rPr>
        <w:t>5</w:t>
      </w:r>
      <w:r>
        <w:rPr>
          <w:sz w:val="26"/>
          <w:szCs w:val="26"/>
        </w:rPr>
        <w:t>]</w:t>
      </w:r>
      <w:r>
        <w:rPr>
          <w:sz w:val="26"/>
          <w:szCs w:val="26"/>
        </w:rPr>
        <w:tab/>
        <w:t>On</w:t>
      </w:r>
      <w:r w:rsidR="00BB00E2">
        <w:rPr>
          <w:sz w:val="26"/>
          <w:szCs w:val="26"/>
        </w:rPr>
        <w:t xml:space="preserve"> the</w:t>
      </w:r>
      <w:r>
        <w:rPr>
          <w:sz w:val="26"/>
          <w:szCs w:val="26"/>
        </w:rPr>
        <w:t xml:space="preserve"> return date, Mr. </w:t>
      </w:r>
      <w:proofErr w:type="spellStart"/>
      <w:r>
        <w:rPr>
          <w:sz w:val="26"/>
          <w:szCs w:val="26"/>
        </w:rPr>
        <w:t>Fakudze</w:t>
      </w:r>
      <w:proofErr w:type="spellEnd"/>
      <w:r>
        <w:rPr>
          <w:sz w:val="26"/>
          <w:szCs w:val="26"/>
        </w:rPr>
        <w:t xml:space="preserve"> </w:t>
      </w:r>
      <w:r w:rsidR="001C46A1">
        <w:rPr>
          <w:sz w:val="26"/>
          <w:szCs w:val="26"/>
        </w:rPr>
        <w:t xml:space="preserve">demonstrated that nothing was missing from the record as </w:t>
      </w:r>
      <w:r w:rsidR="007436B2">
        <w:rPr>
          <w:sz w:val="26"/>
          <w:szCs w:val="26"/>
        </w:rPr>
        <w:t xml:space="preserve">by </w:t>
      </w:r>
      <w:r w:rsidR="001C46A1">
        <w:rPr>
          <w:sz w:val="26"/>
          <w:szCs w:val="26"/>
        </w:rPr>
        <w:t xml:space="preserve">a close scrutiny of the taxed bill </w:t>
      </w:r>
      <w:r w:rsidR="007436B2">
        <w:rPr>
          <w:sz w:val="26"/>
          <w:szCs w:val="26"/>
        </w:rPr>
        <w:t xml:space="preserve">and </w:t>
      </w:r>
      <w:r w:rsidR="001C46A1">
        <w:rPr>
          <w:sz w:val="26"/>
          <w:szCs w:val="26"/>
        </w:rPr>
        <w:t>on adding the amounts reflected</w:t>
      </w:r>
      <w:r w:rsidR="007436B2">
        <w:rPr>
          <w:sz w:val="26"/>
          <w:szCs w:val="26"/>
        </w:rPr>
        <w:t>,</w:t>
      </w:r>
      <w:r w:rsidR="001C46A1">
        <w:rPr>
          <w:sz w:val="26"/>
          <w:szCs w:val="26"/>
        </w:rPr>
        <w:t xml:space="preserve"> a total of E113</w:t>
      </w:r>
      <w:proofErr w:type="gramStart"/>
      <w:r w:rsidR="001C46A1">
        <w:rPr>
          <w:sz w:val="26"/>
          <w:szCs w:val="26"/>
        </w:rPr>
        <w:t>,300.01</w:t>
      </w:r>
      <w:proofErr w:type="gramEnd"/>
      <w:r w:rsidR="001C46A1">
        <w:rPr>
          <w:sz w:val="26"/>
          <w:szCs w:val="26"/>
        </w:rPr>
        <w:t xml:space="preserve"> would be reached.  On this information, Counsel for app</w:t>
      </w:r>
      <w:r w:rsidR="00BB00E2">
        <w:rPr>
          <w:sz w:val="26"/>
          <w:szCs w:val="26"/>
        </w:rPr>
        <w:t>el</w:t>
      </w:r>
      <w:r w:rsidR="001C46A1">
        <w:rPr>
          <w:sz w:val="26"/>
          <w:szCs w:val="26"/>
        </w:rPr>
        <w:t>lant abandoned pursuing the reduction on each item by 1</w:t>
      </w:r>
      <w:r w:rsidR="001C46A1" w:rsidRPr="001C46A1">
        <w:rPr>
          <w:sz w:val="26"/>
          <w:szCs w:val="26"/>
          <w:vertAlign w:val="superscript"/>
        </w:rPr>
        <w:t>st</w:t>
      </w:r>
      <w:r w:rsidR="001C46A1">
        <w:rPr>
          <w:sz w:val="26"/>
          <w:szCs w:val="26"/>
        </w:rPr>
        <w:t xml:space="preserve"> and 2</w:t>
      </w:r>
      <w:r w:rsidR="001C46A1" w:rsidRPr="001C46A1">
        <w:rPr>
          <w:sz w:val="26"/>
          <w:szCs w:val="26"/>
          <w:vertAlign w:val="superscript"/>
        </w:rPr>
        <w:t>nd</w:t>
      </w:r>
      <w:r w:rsidR="001C46A1">
        <w:rPr>
          <w:sz w:val="26"/>
          <w:szCs w:val="26"/>
        </w:rPr>
        <w:t xml:space="preserve"> respondent</w:t>
      </w:r>
      <w:r w:rsidR="00E7738D">
        <w:rPr>
          <w:sz w:val="26"/>
          <w:szCs w:val="26"/>
        </w:rPr>
        <w:t>s</w:t>
      </w:r>
      <w:r w:rsidR="001C46A1">
        <w:rPr>
          <w:sz w:val="26"/>
          <w:szCs w:val="26"/>
        </w:rPr>
        <w:t xml:space="preserve">.  This resulted in one point remaining </w:t>
      </w:r>
      <w:r w:rsidR="001C46A1" w:rsidRPr="001C46A1">
        <w:rPr>
          <w:i/>
          <w:sz w:val="26"/>
          <w:szCs w:val="26"/>
        </w:rPr>
        <w:t>viz</w:t>
      </w:r>
      <w:r w:rsidR="001C46A1">
        <w:rPr>
          <w:sz w:val="26"/>
          <w:szCs w:val="26"/>
        </w:rPr>
        <w:t>. whether the 1</w:t>
      </w:r>
      <w:r w:rsidR="001C46A1" w:rsidRPr="001C46A1">
        <w:rPr>
          <w:sz w:val="26"/>
          <w:szCs w:val="26"/>
          <w:vertAlign w:val="superscript"/>
        </w:rPr>
        <w:t>st</w:t>
      </w:r>
      <w:r w:rsidR="001C46A1">
        <w:rPr>
          <w:sz w:val="26"/>
          <w:szCs w:val="26"/>
        </w:rPr>
        <w:t xml:space="preserve"> and </w:t>
      </w:r>
      <w:r w:rsidR="00BB00E2">
        <w:rPr>
          <w:sz w:val="26"/>
          <w:szCs w:val="26"/>
        </w:rPr>
        <w:t>2</w:t>
      </w:r>
      <w:r w:rsidR="001C46A1" w:rsidRPr="00BB00E2">
        <w:rPr>
          <w:sz w:val="26"/>
          <w:szCs w:val="26"/>
          <w:vertAlign w:val="superscript"/>
        </w:rPr>
        <w:t>nd</w:t>
      </w:r>
      <w:r w:rsidR="00BB00E2">
        <w:rPr>
          <w:sz w:val="26"/>
          <w:szCs w:val="26"/>
        </w:rPr>
        <w:t xml:space="preserve"> </w:t>
      </w:r>
      <w:r w:rsidR="001C46A1">
        <w:rPr>
          <w:sz w:val="26"/>
          <w:szCs w:val="26"/>
        </w:rPr>
        <w:t>respondents were correct in law to disallow collection commission?</w:t>
      </w:r>
    </w:p>
    <w:p w:rsidR="00C75FE3" w:rsidRDefault="00C75FE3" w:rsidP="00714924">
      <w:pPr>
        <w:spacing w:line="276" w:lineRule="auto"/>
        <w:ind w:left="1440" w:hanging="1440"/>
        <w:jc w:val="both"/>
        <w:rPr>
          <w:sz w:val="26"/>
          <w:szCs w:val="26"/>
        </w:rPr>
      </w:pPr>
    </w:p>
    <w:p w:rsidR="00C75FE3" w:rsidRPr="001C46A1" w:rsidRDefault="001C46A1" w:rsidP="00714924">
      <w:pPr>
        <w:spacing w:line="276" w:lineRule="auto"/>
        <w:ind w:left="1440" w:hanging="1440"/>
        <w:jc w:val="both"/>
        <w:rPr>
          <w:sz w:val="26"/>
          <w:szCs w:val="26"/>
          <w:u w:val="single"/>
        </w:rPr>
      </w:pPr>
      <w:r>
        <w:rPr>
          <w:sz w:val="26"/>
          <w:szCs w:val="26"/>
        </w:rPr>
        <w:tab/>
      </w:r>
      <w:r w:rsidRPr="001C46A1">
        <w:rPr>
          <w:sz w:val="26"/>
          <w:szCs w:val="26"/>
          <w:u w:val="single"/>
        </w:rPr>
        <w:t>Adjudication</w:t>
      </w:r>
    </w:p>
    <w:p w:rsidR="001C46A1" w:rsidRDefault="001C46A1" w:rsidP="00714924">
      <w:pPr>
        <w:spacing w:line="276" w:lineRule="auto"/>
        <w:ind w:left="1440" w:hanging="1440"/>
        <w:jc w:val="both"/>
        <w:rPr>
          <w:sz w:val="26"/>
          <w:szCs w:val="26"/>
        </w:rPr>
      </w:pPr>
    </w:p>
    <w:p w:rsidR="001C46A1" w:rsidRDefault="001C46A1" w:rsidP="00C75FE3">
      <w:pPr>
        <w:spacing w:line="360" w:lineRule="auto"/>
        <w:ind w:left="1440" w:hanging="1440"/>
        <w:jc w:val="both"/>
        <w:rPr>
          <w:sz w:val="26"/>
          <w:szCs w:val="26"/>
        </w:rPr>
      </w:pPr>
      <w:r>
        <w:rPr>
          <w:sz w:val="26"/>
          <w:szCs w:val="26"/>
        </w:rPr>
        <w:t>[</w:t>
      </w:r>
      <w:r w:rsidR="007A0972">
        <w:rPr>
          <w:sz w:val="26"/>
          <w:szCs w:val="26"/>
        </w:rPr>
        <w:t>6</w:t>
      </w:r>
      <w:r>
        <w:rPr>
          <w:sz w:val="26"/>
          <w:szCs w:val="26"/>
        </w:rPr>
        <w:t>]</w:t>
      </w:r>
      <w:r>
        <w:rPr>
          <w:sz w:val="26"/>
          <w:szCs w:val="26"/>
        </w:rPr>
        <w:tab/>
      </w:r>
      <w:r w:rsidR="007E57DD">
        <w:rPr>
          <w:sz w:val="26"/>
          <w:szCs w:val="26"/>
        </w:rPr>
        <w:t>The first enquiry is, “</w:t>
      </w:r>
      <w:r w:rsidR="007E57DD" w:rsidRPr="003A0D19">
        <w:rPr>
          <w:i/>
          <w:sz w:val="26"/>
          <w:szCs w:val="26"/>
        </w:rPr>
        <w:t>What are legal costs</w:t>
      </w:r>
      <w:r w:rsidR="007E57DD">
        <w:rPr>
          <w:sz w:val="26"/>
          <w:szCs w:val="26"/>
        </w:rPr>
        <w:t xml:space="preserve">?” </w:t>
      </w:r>
      <w:r w:rsidRPr="001C46A1">
        <w:rPr>
          <w:b/>
          <w:sz w:val="26"/>
          <w:szCs w:val="26"/>
        </w:rPr>
        <w:t xml:space="preserve">A </w:t>
      </w:r>
      <w:proofErr w:type="spellStart"/>
      <w:r w:rsidRPr="001C46A1">
        <w:rPr>
          <w:b/>
          <w:sz w:val="26"/>
          <w:szCs w:val="26"/>
        </w:rPr>
        <w:t>Cilliers</w:t>
      </w:r>
      <w:proofErr w:type="spellEnd"/>
      <w:r>
        <w:rPr>
          <w:sz w:val="26"/>
          <w:szCs w:val="26"/>
        </w:rPr>
        <w:t xml:space="preserve"> in “</w:t>
      </w:r>
      <w:r w:rsidRPr="003A0D19">
        <w:rPr>
          <w:b/>
          <w:i/>
          <w:sz w:val="26"/>
          <w:szCs w:val="26"/>
        </w:rPr>
        <w:t>Law of Costs</w:t>
      </w:r>
      <w:r w:rsidRPr="001C46A1">
        <w:rPr>
          <w:b/>
          <w:sz w:val="26"/>
          <w:szCs w:val="26"/>
        </w:rPr>
        <w:t>” Service Issue 17</w:t>
      </w:r>
      <w:r>
        <w:rPr>
          <w:sz w:val="26"/>
          <w:szCs w:val="26"/>
        </w:rPr>
        <w:t xml:space="preserve"> discussing pre-litigation at para</w:t>
      </w:r>
      <w:r w:rsidR="003A0D19">
        <w:rPr>
          <w:sz w:val="26"/>
          <w:szCs w:val="26"/>
        </w:rPr>
        <w:t>graph</w:t>
      </w:r>
      <w:r>
        <w:rPr>
          <w:sz w:val="26"/>
          <w:szCs w:val="26"/>
        </w:rPr>
        <w:t xml:space="preserve"> 4.02 cites:</w:t>
      </w:r>
    </w:p>
    <w:p w:rsidR="001C46A1" w:rsidRDefault="001C46A1" w:rsidP="00C75FE3">
      <w:pPr>
        <w:spacing w:line="360" w:lineRule="auto"/>
        <w:ind w:left="1440" w:hanging="1440"/>
        <w:jc w:val="both"/>
        <w:rPr>
          <w:sz w:val="26"/>
          <w:szCs w:val="26"/>
        </w:rPr>
      </w:pPr>
    </w:p>
    <w:p w:rsidR="00BB00E2" w:rsidRDefault="00BB00E2" w:rsidP="00BB00E2">
      <w:pPr>
        <w:spacing w:line="360" w:lineRule="auto"/>
        <w:ind w:left="2160"/>
        <w:jc w:val="both"/>
        <w:rPr>
          <w:sz w:val="26"/>
          <w:szCs w:val="26"/>
        </w:rPr>
      </w:pPr>
      <w:r>
        <w:rPr>
          <w:sz w:val="26"/>
          <w:szCs w:val="26"/>
        </w:rPr>
        <w:t>“</w:t>
      </w:r>
      <w:r w:rsidRPr="00E40C3A">
        <w:rPr>
          <w:i/>
          <w:sz w:val="22"/>
          <w:szCs w:val="22"/>
        </w:rPr>
        <w:t>Attorney and client costs are costs that an attorney is entitled to recover from his client for the disbursements made by him on behalf of his client and for the professional services rendered by him.  These costs are payable by the client whatever the outcome of the matter in which he engaged the attorney’s services, and are not dependent upon any award of costs by the court.  In the wide sense, it includes all the costs that the attorney is entitled to recover against his client on taxation of his bill of costs, but in the narrow and more technical sense the term is applied to those costs, charges and expenses as between attorney and client that ordinarily the client cannot recover from the other party.  The position set out above ordinarily applies.  In special cases, however, the court may award a litigant costs against his adversary on an attorney-and-client basis.  In that event, the successful litigant becomes entitled to recover from the unsuccessful party all the costs that on taxation are due by him to his attorney.”</w:t>
      </w:r>
    </w:p>
    <w:p w:rsidR="001C46A1" w:rsidRDefault="001C46A1" w:rsidP="00C75FE3">
      <w:pPr>
        <w:spacing w:line="360" w:lineRule="auto"/>
        <w:ind w:left="1440" w:hanging="1440"/>
        <w:jc w:val="both"/>
        <w:rPr>
          <w:sz w:val="26"/>
          <w:szCs w:val="26"/>
        </w:rPr>
      </w:pPr>
      <w:r>
        <w:rPr>
          <w:sz w:val="26"/>
          <w:szCs w:val="26"/>
        </w:rPr>
        <w:t xml:space="preserve"> </w:t>
      </w:r>
    </w:p>
    <w:p w:rsidR="001C46A1" w:rsidRPr="003A6D95" w:rsidRDefault="001C46A1" w:rsidP="003A6D95">
      <w:pPr>
        <w:pStyle w:val="ListParagraph"/>
        <w:numPr>
          <w:ilvl w:val="0"/>
          <w:numId w:val="2"/>
        </w:numPr>
        <w:spacing w:line="360" w:lineRule="auto"/>
        <w:jc w:val="both"/>
        <w:rPr>
          <w:sz w:val="26"/>
          <w:szCs w:val="26"/>
        </w:rPr>
      </w:pPr>
      <w:r w:rsidRPr="003A6D95">
        <w:rPr>
          <w:sz w:val="26"/>
          <w:szCs w:val="26"/>
        </w:rPr>
        <w:lastRenderedPageBreak/>
        <w:t>[</w:t>
      </w:r>
      <w:r w:rsidR="007A0972" w:rsidRPr="003A6D95">
        <w:rPr>
          <w:sz w:val="26"/>
          <w:szCs w:val="26"/>
        </w:rPr>
        <w:t>7</w:t>
      </w:r>
      <w:r w:rsidRPr="003A6D95">
        <w:rPr>
          <w:sz w:val="26"/>
          <w:szCs w:val="26"/>
        </w:rPr>
        <w:t>]</w:t>
      </w:r>
      <w:r w:rsidRPr="003A6D95">
        <w:rPr>
          <w:sz w:val="26"/>
          <w:szCs w:val="26"/>
        </w:rPr>
        <w:tab/>
      </w:r>
      <w:r w:rsidRPr="003A6D95">
        <w:rPr>
          <w:b/>
          <w:sz w:val="26"/>
          <w:szCs w:val="26"/>
        </w:rPr>
        <w:t>Innes CJ</w:t>
      </w:r>
      <w:r w:rsidRPr="003A6D95">
        <w:rPr>
          <w:sz w:val="26"/>
          <w:szCs w:val="26"/>
        </w:rPr>
        <w:t xml:space="preserve"> in </w:t>
      </w:r>
      <w:r w:rsidRPr="003A6D95">
        <w:rPr>
          <w:b/>
          <w:sz w:val="26"/>
          <w:szCs w:val="26"/>
        </w:rPr>
        <w:t>D &amp; D H Fraser v Waller</w:t>
      </w:r>
      <w:r w:rsidR="001E6050" w:rsidRPr="003A6D95">
        <w:rPr>
          <w:b/>
          <w:sz w:val="26"/>
          <w:szCs w:val="26"/>
        </w:rPr>
        <w:t xml:space="preserve"> 1916 A.D</w:t>
      </w:r>
      <w:r w:rsidRPr="003A6D95">
        <w:rPr>
          <w:b/>
          <w:sz w:val="26"/>
          <w:szCs w:val="26"/>
        </w:rPr>
        <w:t xml:space="preserve"> 494</w:t>
      </w:r>
      <w:r w:rsidRPr="003A6D95">
        <w:rPr>
          <w:sz w:val="26"/>
          <w:szCs w:val="26"/>
        </w:rPr>
        <w:t xml:space="preserve"> was faced with a similar question on whether the appellants were “</w:t>
      </w:r>
      <w:r w:rsidRPr="003A6D95">
        <w:rPr>
          <w:i/>
          <w:sz w:val="26"/>
          <w:szCs w:val="26"/>
        </w:rPr>
        <w:t>entitled to claim the collection charges</w:t>
      </w:r>
      <w:r w:rsidRPr="003A6D95">
        <w:rPr>
          <w:sz w:val="26"/>
          <w:szCs w:val="26"/>
        </w:rPr>
        <w:t>” (see page 497).  The learned judge further pointed out:</w:t>
      </w:r>
    </w:p>
    <w:p w:rsidR="00190E6F" w:rsidRDefault="00190E6F" w:rsidP="00C75FE3">
      <w:pPr>
        <w:spacing w:line="360" w:lineRule="auto"/>
        <w:ind w:left="1440" w:hanging="1440"/>
        <w:jc w:val="both"/>
        <w:rPr>
          <w:sz w:val="26"/>
          <w:szCs w:val="26"/>
        </w:rPr>
      </w:pPr>
    </w:p>
    <w:p w:rsidR="001C46A1" w:rsidRDefault="001C46A1" w:rsidP="001C46A1">
      <w:pPr>
        <w:spacing w:line="360" w:lineRule="auto"/>
        <w:ind w:left="2160"/>
        <w:jc w:val="both"/>
        <w:rPr>
          <w:sz w:val="26"/>
          <w:szCs w:val="26"/>
        </w:rPr>
      </w:pPr>
      <w:r w:rsidRPr="00ED2A27">
        <w:rPr>
          <w:sz w:val="22"/>
          <w:szCs w:val="22"/>
        </w:rPr>
        <w:t>“</w:t>
      </w:r>
      <w:proofErr w:type="gramStart"/>
      <w:r w:rsidRPr="00ED2A27">
        <w:rPr>
          <w:i/>
          <w:sz w:val="22"/>
          <w:szCs w:val="22"/>
        </w:rPr>
        <w:t>if</w:t>
      </w:r>
      <w:proofErr w:type="gramEnd"/>
      <w:r w:rsidRPr="00ED2A27">
        <w:rPr>
          <w:i/>
          <w:sz w:val="22"/>
          <w:szCs w:val="22"/>
        </w:rPr>
        <w:t xml:space="preserve"> they were not, then the amount of £20.15s paid to them under pro</w:t>
      </w:r>
      <w:r w:rsidR="00ED2A27" w:rsidRPr="00ED2A27">
        <w:rPr>
          <w:i/>
          <w:sz w:val="22"/>
          <w:szCs w:val="22"/>
        </w:rPr>
        <w:t xml:space="preserve">test was </w:t>
      </w:r>
      <w:proofErr w:type="spellStart"/>
      <w:r w:rsidR="00A30685">
        <w:rPr>
          <w:i/>
          <w:sz w:val="22"/>
          <w:szCs w:val="22"/>
        </w:rPr>
        <w:t>in</w:t>
      </w:r>
      <w:r w:rsidR="00ED2A27" w:rsidRPr="00ED2A27">
        <w:rPr>
          <w:i/>
          <w:sz w:val="22"/>
          <w:szCs w:val="22"/>
        </w:rPr>
        <w:t>admittedly</w:t>
      </w:r>
      <w:proofErr w:type="spellEnd"/>
      <w:r w:rsidR="00ED2A27" w:rsidRPr="00ED2A27">
        <w:rPr>
          <w:i/>
          <w:sz w:val="22"/>
          <w:szCs w:val="22"/>
        </w:rPr>
        <w:t xml:space="preserve"> recoverable</w:t>
      </w:r>
      <w:r w:rsidR="00ED2A27">
        <w:rPr>
          <w:sz w:val="26"/>
          <w:szCs w:val="26"/>
        </w:rPr>
        <w:t>.”</w:t>
      </w:r>
    </w:p>
    <w:p w:rsidR="001C46A1" w:rsidRDefault="001C46A1" w:rsidP="00C75FE3">
      <w:pPr>
        <w:spacing w:line="360" w:lineRule="auto"/>
        <w:ind w:left="1440" w:hanging="1440"/>
        <w:jc w:val="both"/>
        <w:rPr>
          <w:sz w:val="26"/>
          <w:szCs w:val="26"/>
        </w:rPr>
      </w:pPr>
    </w:p>
    <w:p w:rsidR="00ED2A27" w:rsidRDefault="00ED2A27" w:rsidP="00C75FE3">
      <w:pPr>
        <w:spacing w:line="360" w:lineRule="auto"/>
        <w:ind w:left="1440" w:hanging="1440"/>
        <w:jc w:val="both"/>
        <w:rPr>
          <w:sz w:val="26"/>
          <w:szCs w:val="26"/>
        </w:rPr>
      </w:pPr>
      <w:r>
        <w:rPr>
          <w:sz w:val="26"/>
          <w:szCs w:val="26"/>
        </w:rPr>
        <w:t>[</w:t>
      </w:r>
      <w:r w:rsidR="007A0972">
        <w:rPr>
          <w:sz w:val="26"/>
          <w:szCs w:val="26"/>
        </w:rPr>
        <w:t>8</w:t>
      </w:r>
      <w:r>
        <w:rPr>
          <w:sz w:val="26"/>
          <w:szCs w:val="26"/>
        </w:rPr>
        <w:t>]</w:t>
      </w:r>
      <w:r>
        <w:rPr>
          <w:sz w:val="26"/>
          <w:szCs w:val="26"/>
        </w:rPr>
        <w:tab/>
        <w:t>Adjudicating on this issue, the learned judge stipulated on collection costs at page 499:</w:t>
      </w:r>
    </w:p>
    <w:p w:rsidR="00ED2A27" w:rsidRDefault="00ED2A27" w:rsidP="00C75FE3">
      <w:pPr>
        <w:spacing w:line="360" w:lineRule="auto"/>
        <w:ind w:left="1440" w:hanging="1440"/>
        <w:jc w:val="both"/>
        <w:rPr>
          <w:sz w:val="26"/>
          <w:szCs w:val="26"/>
        </w:rPr>
      </w:pPr>
    </w:p>
    <w:p w:rsidR="00ED2A27" w:rsidRPr="00714924" w:rsidRDefault="00ED2A27" w:rsidP="00ED2A27">
      <w:pPr>
        <w:spacing w:line="360" w:lineRule="auto"/>
        <w:ind w:left="2160"/>
        <w:jc w:val="both"/>
        <w:rPr>
          <w:sz w:val="26"/>
          <w:szCs w:val="26"/>
        </w:rPr>
      </w:pPr>
      <w:r>
        <w:rPr>
          <w:sz w:val="26"/>
          <w:szCs w:val="26"/>
        </w:rPr>
        <w:t>“</w:t>
      </w:r>
      <w:r w:rsidRPr="00ED2A27">
        <w:rPr>
          <w:i/>
          <w:sz w:val="22"/>
          <w:szCs w:val="22"/>
        </w:rPr>
        <w:t xml:space="preserve">And that meaning must be borne in mind throughout this enquiry.  </w:t>
      </w:r>
      <w:r w:rsidRPr="00714924">
        <w:rPr>
          <w:i/>
          <w:sz w:val="22"/>
          <w:szCs w:val="22"/>
          <w:u w:val="single"/>
        </w:rPr>
        <w:t>Collection costs are the costs due to an agent who collects;</w:t>
      </w:r>
      <w:r w:rsidRPr="00ED2A27">
        <w:rPr>
          <w:i/>
          <w:sz w:val="22"/>
          <w:szCs w:val="22"/>
        </w:rPr>
        <w:t xml:space="preserve"> they are speaking generally, </w:t>
      </w:r>
      <w:r w:rsidRPr="00714924">
        <w:rPr>
          <w:i/>
          <w:sz w:val="22"/>
          <w:szCs w:val="22"/>
          <w:u w:val="single"/>
        </w:rPr>
        <w:t>assessed on a percentage basis of the amount recovered, and they are only chargeable in respect of the process of collection</w:t>
      </w:r>
      <w:r w:rsidRPr="00ED2A27">
        <w:rPr>
          <w:i/>
          <w:sz w:val="22"/>
          <w:szCs w:val="22"/>
        </w:rPr>
        <w:t>.  Where there has been no collection, there can be no collection costs.”</w:t>
      </w:r>
      <w:r w:rsidR="00714924">
        <w:rPr>
          <w:sz w:val="22"/>
          <w:szCs w:val="22"/>
        </w:rPr>
        <w:t xml:space="preserve"> (</w:t>
      </w:r>
      <w:proofErr w:type="gramStart"/>
      <w:r w:rsidR="00714924">
        <w:rPr>
          <w:sz w:val="22"/>
          <w:szCs w:val="22"/>
        </w:rPr>
        <w:t>underlined</w:t>
      </w:r>
      <w:proofErr w:type="gramEnd"/>
      <w:r w:rsidR="00714924">
        <w:rPr>
          <w:sz w:val="22"/>
          <w:szCs w:val="22"/>
        </w:rPr>
        <w:t>, my emphasis)</w:t>
      </w:r>
    </w:p>
    <w:p w:rsidR="00ED2A27" w:rsidRDefault="00ED2A27" w:rsidP="00C75FE3">
      <w:pPr>
        <w:spacing w:line="360" w:lineRule="auto"/>
        <w:ind w:left="1440" w:hanging="1440"/>
        <w:jc w:val="both"/>
        <w:rPr>
          <w:sz w:val="26"/>
          <w:szCs w:val="26"/>
        </w:rPr>
      </w:pPr>
    </w:p>
    <w:p w:rsidR="00ED2A27" w:rsidRDefault="00ED2A27" w:rsidP="00C75FE3">
      <w:pPr>
        <w:spacing w:line="360" w:lineRule="auto"/>
        <w:ind w:left="1440" w:hanging="1440"/>
        <w:jc w:val="both"/>
        <w:rPr>
          <w:sz w:val="26"/>
          <w:szCs w:val="26"/>
        </w:rPr>
      </w:pPr>
      <w:r>
        <w:rPr>
          <w:sz w:val="26"/>
          <w:szCs w:val="26"/>
        </w:rPr>
        <w:t>[</w:t>
      </w:r>
      <w:r w:rsidR="007A0972">
        <w:rPr>
          <w:sz w:val="26"/>
          <w:szCs w:val="26"/>
        </w:rPr>
        <w:t>9</w:t>
      </w:r>
      <w:r>
        <w:rPr>
          <w:sz w:val="26"/>
          <w:szCs w:val="26"/>
        </w:rPr>
        <w:t>]</w:t>
      </w:r>
      <w:r>
        <w:rPr>
          <w:sz w:val="26"/>
          <w:szCs w:val="26"/>
        </w:rPr>
        <w:tab/>
        <w:t xml:space="preserve">At page 501 the </w:t>
      </w:r>
      <w:proofErr w:type="spellStart"/>
      <w:r>
        <w:rPr>
          <w:sz w:val="26"/>
          <w:szCs w:val="26"/>
        </w:rPr>
        <w:t>honourable</w:t>
      </w:r>
      <w:proofErr w:type="spellEnd"/>
      <w:r>
        <w:rPr>
          <w:sz w:val="26"/>
          <w:szCs w:val="26"/>
        </w:rPr>
        <w:t xml:space="preserve"> Chief Justice eloquently concludes:</w:t>
      </w:r>
    </w:p>
    <w:p w:rsidR="00ED2A27" w:rsidRDefault="00ED2A27" w:rsidP="00C75FE3">
      <w:pPr>
        <w:spacing w:line="360" w:lineRule="auto"/>
        <w:ind w:left="1440" w:hanging="1440"/>
        <w:jc w:val="both"/>
        <w:rPr>
          <w:sz w:val="26"/>
          <w:szCs w:val="26"/>
        </w:rPr>
      </w:pPr>
    </w:p>
    <w:p w:rsidR="00ED2A27" w:rsidRPr="00ED2A27" w:rsidRDefault="00ED2A27" w:rsidP="00ED2A27">
      <w:pPr>
        <w:spacing w:line="360" w:lineRule="auto"/>
        <w:ind w:left="2160"/>
        <w:jc w:val="both"/>
        <w:rPr>
          <w:i/>
          <w:sz w:val="26"/>
          <w:szCs w:val="26"/>
        </w:rPr>
      </w:pPr>
      <w:r>
        <w:rPr>
          <w:sz w:val="26"/>
          <w:szCs w:val="26"/>
        </w:rPr>
        <w:t>“</w:t>
      </w:r>
      <w:r w:rsidRPr="00714924">
        <w:rPr>
          <w:i/>
          <w:sz w:val="22"/>
          <w:szCs w:val="22"/>
          <w:u w:val="single"/>
        </w:rPr>
        <w:t>If the debt has actually been collected without recourse to law, then assuming the percentage rate to be a reasonable one, the full commission would be due</w:t>
      </w:r>
      <w:r w:rsidRPr="00235EF0">
        <w:rPr>
          <w:i/>
          <w:sz w:val="22"/>
          <w:szCs w:val="22"/>
        </w:rPr>
        <w:t xml:space="preserve">.  </w:t>
      </w:r>
      <w:proofErr w:type="gramStart"/>
      <w:r w:rsidRPr="00235EF0">
        <w:rPr>
          <w:i/>
          <w:sz w:val="22"/>
          <w:szCs w:val="22"/>
        </w:rPr>
        <w:t>If only portion of the debt has been so collected, then the commission would be calculated upon that portion</w:t>
      </w:r>
      <w:r w:rsidRPr="00331566">
        <w:rPr>
          <w:b/>
          <w:i/>
          <w:sz w:val="22"/>
          <w:szCs w:val="22"/>
        </w:rPr>
        <w:t>.</w:t>
      </w:r>
      <w:proofErr w:type="gramEnd"/>
      <w:r w:rsidRPr="00331566">
        <w:rPr>
          <w:b/>
          <w:i/>
          <w:sz w:val="22"/>
          <w:szCs w:val="22"/>
        </w:rPr>
        <w:t xml:space="preserve">  </w:t>
      </w:r>
      <w:r w:rsidRPr="00331566">
        <w:rPr>
          <w:b/>
          <w:i/>
          <w:sz w:val="22"/>
          <w:szCs w:val="22"/>
          <w:u w:val="single"/>
        </w:rPr>
        <w:t>But there may be cases in which expense has been actually incurred in unsuccessful attempts to collect.  If so, every expense for which the creditor is so liable to his agent would be recoverable from the debtor</w:t>
      </w:r>
      <w:r w:rsidRPr="00830247">
        <w:rPr>
          <w:i/>
          <w:sz w:val="22"/>
          <w:szCs w:val="22"/>
          <w:u w:val="single"/>
        </w:rPr>
        <w:t>:</w:t>
      </w:r>
      <w:r w:rsidRPr="00235EF0">
        <w:rPr>
          <w:i/>
          <w:sz w:val="22"/>
          <w:szCs w:val="22"/>
        </w:rPr>
        <w:t xml:space="preserve"> … But the point is that the costs recoverable must be costs of collection.  Collection in the sense in which the word is used in this clause is a different process from recovery by action.  … The attorney who conducts the case recovers the money at law, and is remunerated by the costs awarded him.  </w:t>
      </w:r>
      <w:r w:rsidRPr="00714924">
        <w:rPr>
          <w:i/>
          <w:sz w:val="22"/>
          <w:szCs w:val="22"/>
          <w:u w:val="single"/>
        </w:rPr>
        <w:t xml:space="preserve">He cannot claim against his principal a commission upon the amount of the judgment; nor can the agent; for neither, of them has collected the debt.  </w:t>
      </w:r>
      <w:r w:rsidRPr="00331566">
        <w:rPr>
          <w:b/>
          <w:i/>
          <w:sz w:val="22"/>
          <w:szCs w:val="22"/>
          <w:u w:val="single"/>
        </w:rPr>
        <w:t xml:space="preserve">It would make no difference should the capacities of collecting agent and </w:t>
      </w:r>
      <w:r w:rsidRPr="00331566">
        <w:rPr>
          <w:b/>
          <w:i/>
          <w:sz w:val="22"/>
          <w:szCs w:val="22"/>
          <w:u w:val="single"/>
        </w:rPr>
        <w:lastRenderedPageBreak/>
        <w:t>attorney happen to b</w:t>
      </w:r>
      <w:r w:rsidR="00235EF0" w:rsidRPr="00331566">
        <w:rPr>
          <w:b/>
          <w:i/>
          <w:sz w:val="22"/>
          <w:szCs w:val="22"/>
          <w:u w:val="single"/>
        </w:rPr>
        <w:t xml:space="preserve">e united in the same individual.  </w:t>
      </w:r>
      <w:r w:rsidR="00235EF0" w:rsidRPr="00830247">
        <w:rPr>
          <w:b/>
          <w:i/>
          <w:sz w:val="22"/>
          <w:szCs w:val="22"/>
          <w:u w:val="single"/>
        </w:rPr>
        <w:t>If it were otherwise, there would be a double charge – costs plus commission – upon the debtor in every case in which an</w:t>
      </w:r>
      <w:r w:rsidR="00235EF0" w:rsidRPr="00714924">
        <w:rPr>
          <w:i/>
          <w:sz w:val="22"/>
          <w:szCs w:val="22"/>
          <w:u w:val="single"/>
        </w:rPr>
        <w:t xml:space="preserve"> </w:t>
      </w:r>
      <w:r w:rsidR="00235EF0" w:rsidRPr="00830247">
        <w:rPr>
          <w:b/>
          <w:i/>
          <w:sz w:val="22"/>
          <w:szCs w:val="22"/>
          <w:u w:val="single"/>
        </w:rPr>
        <w:t>instrument of debt containing a collection clause was sued upon</w:t>
      </w:r>
      <w:r w:rsidR="00235EF0" w:rsidRPr="00235EF0">
        <w:rPr>
          <w:i/>
          <w:sz w:val="22"/>
          <w:szCs w:val="22"/>
        </w:rPr>
        <w:t>.”</w:t>
      </w:r>
      <w:r w:rsidR="00714924" w:rsidRPr="00714924">
        <w:rPr>
          <w:sz w:val="22"/>
          <w:szCs w:val="22"/>
        </w:rPr>
        <w:t xml:space="preserve"> </w:t>
      </w:r>
      <w:r w:rsidR="00830247">
        <w:rPr>
          <w:sz w:val="22"/>
          <w:szCs w:val="22"/>
        </w:rPr>
        <w:t>(</w:t>
      </w:r>
      <w:proofErr w:type="gramStart"/>
      <w:r w:rsidR="00830247">
        <w:rPr>
          <w:sz w:val="22"/>
          <w:szCs w:val="22"/>
        </w:rPr>
        <w:t>underlined</w:t>
      </w:r>
      <w:proofErr w:type="gramEnd"/>
      <w:r w:rsidR="00830247">
        <w:rPr>
          <w:sz w:val="22"/>
          <w:szCs w:val="22"/>
        </w:rPr>
        <w:t xml:space="preserve"> and bold</w:t>
      </w:r>
      <w:r w:rsidR="00714924">
        <w:rPr>
          <w:sz w:val="22"/>
          <w:szCs w:val="22"/>
        </w:rPr>
        <w:t xml:space="preserve"> my emphasis)</w:t>
      </w:r>
    </w:p>
    <w:p w:rsidR="00ED2A27" w:rsidRDefault="00ED2A27" w:rsidP="00C75FE3">
      <w:pPr>
        <w:spacing w:line="360" w:lineRule="auto"/>
        <w:ind w:left="1440" w:hanging="1440"/>
        <w:jc w:val="both"/>
        <w:rPr>
          <w:sz w:val="26"/>
          <w:szCs w:val="26"/>
        </w:rPr>
      </w:pPr>
    </w:p>
    <w:p w:rsidR="00235EF0" w:rsidRDefault="00235EF0" w:rsidP="00C75FE3">
      <w:pPr>
        <w:spacing w:line="360" w:lineRule="auto"/>
        <w:ind w:left="1440" w:hanging="1440"/>
        <w:jc w:val="both"/>
        <w:rPr>
          <w:sz w:val="26"/>
          <w:szCs w:val="26"/>
        </w:rPr>
      </w:pPr>
      <w:r>
        <w:rPr>
          <w:sz w:val="26"/>
          <w:szCs w:val="26"/>
        </w:rPr>
        <w:t>[</w:t>
      </w:r>
      <w:r w:rsidR="007A0972">
        <w:rPr>
          <w:sz w:val="26"/>
          <w:szCs w:val="26"/>
        </w:rPr>
        <w:t>10</w:t>
      </w:r>
      <w:r>
        <w:rPr>
          <w:sz w:val="26"/>
          <w:szCs w:val="26"/>
        </w:rPr>
        <w:t>]</w:t>
      </w:r>
      <w:r>
        <w:rPr>
          <w:sz w:val="26"/>
          <w:szCs w:val="26"/>
        </w:rPr>
        <w:tab/>
        <w:t xml:space="preserve">I now apply the above principle to the case </w:t>
      </w:r>
      <w:r w:rsidR="00E73ABC">
        <w:rPr>
          <w:sz w:val="26"/>
          <w:szCs w:val="26"/>
        </w:rPr>
        <w:t>at hand.</w:t>
      </w:r>
      <w:r>
        <w:rPr>
          <w:sz w:val="26"/>
          <w:szCs w:val="26"/>
        </w:rPr>
        <w:t xml:space="preserve">   App</w:t>
      </w:r>
      <w:r w:rsidR="00714924">
        <w:rPr>
          <w:sz w:val="26"/>
          <w:szCs w:val="26"/>
        </w:rPr>
        <w:t>el</w:t>
      </w:r>
      <w:r>
        <w:rPr>
          <w:sz w:val="26"/>
          <w:szCs w:val="26"/>
        </w:rPr>
        <w:t>lant submitted an eighteen page bill to the 3</w:t>
      </w:r>
      <w:r w:rsidRPr="00235EF0">
        <w:rPr>
          <w:sz w:val="26"/>
          <w:szCs w:val="26"/>
          <w:vertAlign w:val="superscript"/>
        </w:rPr>
        <w:t>rd</w:t>
      </w:r>
      <w:r>
        <w:rPr>
          <w:sz w:val="26"/>
          <w:szCs w:val="26"/>
        </w:rPr>
        <w:t xml:space="preserve"> respondent.  Admittedly</w:t>
      </w:r>
      <w:r w:rsidR="00830247">
        <w:rPr>
          <w:sz w:val="26"/>
          <w:szCs w:val="26"/>
        </w:rPr>
        <w:t>,</w:t>
      </w:r>
      <w:r>
        <w:rPr>
          <w:sz w:val="26"/>
          <w:szCs w:val="26"/>
        </w:rPr>
        <w:t xml:space="preserve"> this bill from its readings was for legal services rendered</w:t>
      </w:r>
      <w:r w:rsidR="00830247">
        <w:rPr>
          <w:sz w:val="26"/>
          <w:szCs w:val="26"/>
        </w:rPr>
        <w:t>,</w:t>
      </w:r>
      <w:r>
        <w:rPr>
          <w:sz w:val="26"/>
          <w:szCs w:val="26"/>
        </w:rPr>
        <w:t xml:space="preserve"> </w:t>
      </w:r>
      <w:r w:rsidR="00331566">
        <w:rPr>
          <w:sz w:val="26"/>
          <w:szCs w:val="26"/>
        </w:rPr>
        <w:t xml:space="preserve">together with disbursements, </w:t>
      </w:r>
      <w:r>
        <w:rPr>
          <w:sz w:val="26"/>
          <w:szCs w:val="26"/>
        </w:rPr>
        <w:t>inclusive of collection services.  In its grounds of appeal, the app</w:t>
      </w:r>
      <w:r w:rsidR="00714924">
        <w:rPr>
          <w:sz w:val="26"/>
          <w:szCs w:val="26"/>
        </w:rPr>
        <w:t>el</w:t>
      </w:r>
      <w:r>
        <w:rPr>
          <w:sz w:val="26"/>
          <w:szCs w:val="26"/>
        </w:rPr>
        <w:t>lant states:</w:t>
      </w:r>
    </w:p>
    <w:p w:rsidR="00235EF0" w:rsidRDefault="00235EF0" w:rsidP="00C75FE3">
      <w:pPr>
        <w:spacing w:line="360" w:lineRule="auto"/>
        <w:ind w:left="1440" w:hanging="1440"/>
        <w:jc w:val="both"/>
        <w:rPr>
          <w:sz w:val="26"/>
          <w:szCs w:val="26"/>
        </w:rPr>
      </w:pPr>
    </w:p>
    <w:p w:rsidR="00235EF0" w:rsidRPr="003705F9" w:rsidRDefault="00235EF0" w:rsidP="003705F9">
      <w:pPr>
        <w:spacing w:line="360" w:lineRule="auto"/>
        <w:ind w:left="2880" w:hanging="720"/>
        <w:jc w:val="both"/>
        <w:rPr>
          <w:i/>
          <w:sz w:val="22"/>
          <w:szCs w:val="22"/>
        </w:rPr>
      </w:pPr>
      <w:r w:rsidRPr="003705F9">
        <w:rPr>
          <w:i/>
          <w:sz w:val="22"/>
          <w:szCs w:val="22"/>
        </w:rPr>
        <w:t>“(a)</w:t>
      </w:r>
      <w:r w:rsidRPr="003705F9">
        <w:rPr>
          <w:i/>
          <w:sz w:val="22"/>
          <w:szCs w:val="22"/>
        </w:rPr>
        <w:tab/>
        <w:t xml:space="preserve">The appellant was instructed by the third respondent to assist him in the liquidation of his company called </w:t>
      </w:r>
      <w:proofErr w:type="spellStart"/>
      <w:r w:rsidRPr="003705F9">
        <w:rPr>
          <w:i/>
          <w:sz w:val="22"/>
          <w:szCs w:val="22"/>
        </w:rPr>
        <w:t>Mzala’s</w:t>
      </w:r>
      <w:proofErr w:type="spellEnd"/>
      <w:r w:rsidRPr="003705F9">
        <w:rPr>
          <w:i/>
          <w:sz w:val="22"/>
          <w:szCs w:val="22"/>
        </w:rPr>
        <w:t xml:space="preserve"> Carriers (Pty) Ltd and collect on his behalf all monies  to be </w:t>
      </w:r>
      <w:proofErr w:type="spellStart"/>
      <w:r w:rsidRPr="003705F9">
        <w:rPr>
          <w:i/>
          <w:sz w:val="22"/>
          <w:szCs w:val="22"/>
        </w:rPr>
        <w:t>realised</w:t>
      </w:r>
      <w:proofErr w:type="spellEnd"/>
      <w:r w:rsidRPr="003705F9">
        <w:rPr>
          <w:i/>
          <w:sz w:val="22"/>
          <w:szCs w:val="22"/>
        </w:rPr>
        <w:t xml:space="preserve"> from the liquidation.  The appellant collected the sum of E1 287 915.79 on behalf of the </w:t>
      </w:r>
      <w:r w:rsidR="003705F9" w:rsidRPr="003705F9">
        <w:rPr>
          <w:i/>
          <w:sz w:val="22"/>
          <w:szCs w:val="22"/>
        </w:rPr>
        <w:t>third respondent prior to judgment and was therefore entitled to charge collection in terms of article 17 (2) of the Law Society of Swaziland Bye Laws of 1992.  The first respondent erred in failing to apply the correct applicable principles of law relating to charging a client collection commission and came to a wrong decision.</w:t>
      </w:r>
    </w:p>
    <w:p w:rsidR="00235EF0" w:rsidRPr="003705F9" w:rsidRDefault="00235EF0" w:rsidP="00C75FE3">
      <w:pPr>
        <w:spacing w:line="360" w:lineRule="auto"/>
        <w:ind w:left="1440" w:hanging="1440"/>
        <w:jc w:val="both"/>
        <w:rPr>
          <w:i/>
          <w:sz w:val="22"/>
          <w:szCs w:val="22"/>
        </w:rPr>
      </w:pPr>
    </w:p>
    <w:p w:rsidR="003705F9" w:rsidRDefault="003705F9" w:rsidP="003705F9">
      <w:pPr>
        <w:spacing w:line="360" w:lineRule="auto"/>
        <w:ind w:left="2880" w:hanging="720"/>
        <w:jc w:val="both"/>
        <w:rPr>
          <w:sz w:val="26"/>
          <w:szCs w:val="26"/>
        </w:rPr>
      </w:pPr>
      <w:r w:rsidRPr="003705F9">
        <w:rPr>
          <w:i/>
          <w:sz w:val="22"/>
          <w:szCs w:val="22"/>
        </w:rPr>
        <w:t>(b)</w:t>
      </w:r>
      <w:r w:rsidRPr="003705F9">
        <w:rPr>
          <w:i/>
          <w:sz w:val="22"/>
          <w:szCs w:val="22"/>
        </w:rPr>
        <w:tab/>
        <w:t>In particular, there were no allegations and/or primary facts that the appellant collected the amounts due to the third respondent through a judgment of court in order not to be entitled to collection commission.  The third respondent admitted that the amount recovered was through the services of the appellant and the first respondent erred in then disallowing collection commission.</w:t>
      </w:r>
      <w:r>
        <w:rPr>
          <w:sz w:val="26"/>
          <w:szCs w:val="26"/>
        </w:rPr>
        <w:t>”</w:t>
      </w:r>
    </w:p>
    <w:p w:rsidR="00235EF0" w:rsidRDefault="00235EF0" w:rsidP="00C75FE3">
      <w:pPr>
        <w:spacing w:line="360" w:lineRule="auto"/>
        <w:ind w:left="1440" w:hanging="1440"/>
        <w:jc w:val="both"/>
        <w:rPr>
          <w:sz w:val="26"/>
          <w:szCs w:val="26"/>
        </w:rPr>
      </w:pPr>
    </w:p>
    <w:p w:rsidR="00E673AB" w:rsidRDefault="003705F9" w:rsidP="00C75FE3">
      <w:pPr>
        <w:spacing w:line="360" w:lineRule="auto"/>
        <w:ind w:left="1440" w:hanging="1440"/>
        <w:jc w:val="both"/>
        <w:rPr>
          <w:sz w:val="26"/>
          <w:szCs w:val="26"/>
        </w:rPr>
      </w:pPr>
      <w:r>
        <w:rPr>
          <w:sz w:val="26"/>
          <w:szCs w:val="26"/>
        </w:rPr>
        <w:t>[</w:t>
      </w:r>
      <w:r w:rsidR="007A0972">
        <w:rPr>
          <w:sz w:val="26"/>
          <w:szCs w:val="26"/>
        </w:rPr>
        <w:t>11</w:t>
      </w:r>
      <w:r>
        <w:rPr>
          <w:sz w:val="26"/>
          <w:szCs w:val="26"/>
        </w:rPr>
        <w:t>]</w:t>
      </w:r>
      <w:r>
        <w:rPr>
          <w:sz w:val="26"/>
          <w:szCs w:val="26"/>
        </w:rPr>
        <w:tab/>
        <w:t>It is correct that the app</w:t>
      </w:r>
      <w:r w:rsidR="00714924">
        <w:rPr>
          <w:sz w:val="26"/>
          <w:szCs w:val="26"/>
        </w:rPr>
        <w:t>el</w:t>
      </w:r>
      <w:r>
        <w:rPr>
          <w:sz w:val="26"/>
          <w:szCs w:val="26"/>
        </w:rPr>
        <w:t>lant did not recover the money on behalf of 3</w:t>
      </w:r>
      <w:r w:rsidRPr="003705F9">
        <w:rPr>
          <w:sz w:val="26"/>
          <w:szCs w:val="26"/>
          <w:vertAlign w:val="superscript"/>
        </w:rPr>
        <w:t>rd</w:t>
      </w:r>
      <w:r>
        <w:rPr>
          <w:sz w:val="26"/>
          <w:szCs w:val="26"/>
        </w:rPr>
        <w:t xml:space="preserve"> respondent as a result of a court action.  However, that as it may, analyses of the principl</w:t>
      </w:r>
      <w:r w:rsidR="000D44FF">
        <w:rPr>
          <w:sz w:val="26"/>
          <w:szCs w:val="26"/>
        </w:rPr>
        <w:t>e</w:t>
      </w:r>
      <w:r>
        <w:rPr>
          <w:sz w:val="26"/>
          <w:szCs w:val="26"/>
        </w:rPr>
        <w:t xml:space="preserve"> as propounded by </w:t>
      </w:r>
      <w:r w:rsidRPr="003705F9">
        <w:rPr>
          <w:b/>
          <w:sz w:val="26"/>
          <w:szCs w:val="26"/>
        </w:rPr>
        <w:t>CJ Innes</w:t>
      </w:r>
      <w:r w:rsidR="00235EF0" w:rsidRPr="003705F9">
        <w:rPr>
          <w:b/>
          <w:sz w:val="26"/>
          <w:szCs w:val="26"/>
        </w:rPr>
        <w:t xml:space="preserve">                                                                                           </w:t>
      </w:r>
      <w:r w:rsidRPr="003705F9">
        <w:rPr>
          <w:b/>
          <w:sz w:val="26"/>
          <w:szCs w:val="26"/>
        </w:rPr>
        <w:t xml:space="preserve"> </w:t>
      </w:r>
      <w:r w:rsidRPr="003705F9">
        <w:rPr>
          <w:i/>
          <w:sz w:val="26"/>
          <w:szCs w:val="26"/>
        </w:rPr>
        <w:t>supra</w:t>
      </w:r>
      <w:r>
        <w:rPr>
          <w:sz w:val="26"/>
          <w:szCs w:val="26"/>
        </w:rPr>
        <w:t xml:space="preserve">, is that one cannot claim costs together with collection commission.  </w:t>
      </w:r>
      <w:r w:rsidR="00714924">
        <w:rPr>
          <w:sz w:val="26"/>
          <w:szCs w:val="26"/>
        </w:rPr>
        <w:lastRenderedPageBreak/>
        <w:t>Applying the law as enunciated above</w:t>
      </w:r>
      <w:r w:rsidR="00E7738D">
        <w:rPr>
          <w:sz w:val="26"/>
          <w:szCs w:val="26"/>
        </w:rPr>
        <w:t xml:space="preserve"> </w:t>
      </w:r>
      <w:r w:rsidR="00E7738D" w:rsidRPr="00830247">
        <w:rPr>
          <w:i/>
          <w:sz w:val="26"/>
          <w:szCs w:val="26"/>
        </w:rPr>
        <w:t xml:space="preserve">strict </w:t>
      </w:r>
      <w:proofErr w:type="spellStart"/>
      <w:r w:rsidR="00E7738D" w:rsidRPr="00830247">
        <w:rPr>
          <w:i/>
          <w:sz w:val="26"/>
          <w:szCs w:val="26"/>
        </w:rPr>
        <w:t>sens</w:t>
      </w:r>
      <w:r w:rsidR="00830247">
        <w:rPr>
          <w:i/>
          <w:sz w:val="26"/>
          <w:szCs w:val="26"/>
        </w:rPr>
        <w:t>u</w:t>
      </w:r>
      <w:proofErr w:type="spellEnd"/>
      <w:r w:rsidR="00830247">
        <w:rPr>
          <w:i/>
          <w:sz w:val="26"/>
          <w:szCs w:val="26"/>
        </w:rPr>
        <w:t xml:space="preserve">, </w:t>
      </w:r>
      <w:r w:rsidR="00E7738D">
        <w:rPr>
          <w:sz w:val="26"/>
          <w:szCs w:val="26"/>
        </w:rPr>
        <w:t xml:space="preserve">appellant is entitled to collection commission only as </w:t>
      </w:r>
      <w:r w:rsidR="00830247">
        <w:rPr>
          <w:sz w:val="26"/>
          <w:szCs w:val="26"/>
        </w:rPr>
        <w:t>it</w:t>
      </w:r>
      <w:r w:rsidR="00E7738D">
        <w:rPr>
          <w:sz w:val="26"/>
          <w:szCs w:val="26"/>
        </w:rPr>
        <w:t xml:space="preserve"> avers that “</w:t>
      </w:r>
      <w:r w:rsidR="00E7738D" w:rsidRPr="00331566">
        <w:rPr>
          <w:i/>
          <w:sz w:val="26"/>
          <w:szCs w:val="26"/>
        </w:rPr>
        <w:t>appellant collected the sum of E1,287,916.79</w:t>
      </w:r>
      <w:r w:rsidR="00331566">
        <w:rPr>
          <w:i/>
          <w:sz w:val="26"/>
          <w:szCs w:val="26"/>
        </w:rPr>
        <w:t>”</w:t>
      </w:r>
      <w:r w:rsidR="00E7738D" w:rsidRPr="00331566">
        <w:rPr>
          <w:i/>
          <w:sz w:val="26"/>
          <w:szCs w:val="26"/>
        </w:rPr>
        <w:t xml:space="preserve"> </w:t>
      </w:r>
      <w:r w:rsidR="00E7738D" w:rsidRPr="00331566">
        <w:rPr>
          <w:sz w:val="26"/>
          <w:szCs w:val="26"/>
        </w:rPr>
        <w:t>a</w:t>
      </w:r>
      <w:r w:rsidR="00E7738D">
        <w:rPr>
          <w:sz w:val="26"/>
          <w:szCs w:val="26"/>
        </w:rPr>
        <w:t>nd from the itemized bill no where does one find that appellant approached the court for litigation on behalf of 3</w:t>
      </w:r>
      <w:r w:rsidR="00E7738D" w:rsidRPr="00E7738D">
        <w:rPr>
          <w:sz w:val="26"/>
          <w:szCs w:val="26"/>
          <w:vertAlign w:val="superscript"/>
        </w:rPr>
        <w:t>rd</w:t>
      </w:r>
      <w:r w:rsidR="00E7738D">
        <w:rPr>
          <w:sz w:val="26"/>
          <w:szCs w:val="26"/>
        </w:rPr>
        <w:t xml:space="preserve"> respondent.  </w:t>
      </w:r>
      <w:r w:rsidR="00331566">
        <w:rPr>
          <w:sz w:val="26"/>
          <w:szCs w:val="26"/>
        </w:rPr>
        <w:t>Fair enough, appellant incurred disbursement in the process of collection.  However, in law, these are not to be borne by the creditor</w:t>
      </w:r>
      <w:r w:rsidR="009F2E73">
        <w:rPr>
          <w:sz w:val="26"/>
          <w:szCs w:val="26"/>
        </w:rPr>
        <w:t xml:space="preserve"> or the principal who is 3</w:t>
      </w:r>
      <w:r w:rsidR="009F2E73" w:rsidRPr="009F2E73">
        <w:rPr>
          <w:sz w:val="26"/>
          <w:szCs w:val="26"/>
          <w:vertAlign w:val="superscript"/>
        </w:rPr>
        <w:t>rd</w:t>
      </w:r>
      <w:r w:rsidR="009F2E73">
        <w:rPr>
          <w:sz w:val="26"/>
          <w:szCs w:val="26"/>
        </w:rPr>
        <w:t xml:space="preserve"> respondent </w:t>
      </w:r>
      <w:r w:rsidR="009F2E73" w:rsidRPr="009F2E73">
        <w:rPr>
          <w:i/>
          <w:sz w:val="26"/>
          <w:szCs w:val="26"/>
        </w:rPr>
        <w:t xml:space="preserve">in </w:t>
      </w:r>
      <w:proofErr w:type="spellStart"/>
      <w:r w:rsidR="009F2E73" w:rsidRPr="009F2E73">
        <w:rPr>
          <w:i/>
          <w:sz w:val="26"/>
          <w:szCs w:val="26"/>
        </w:rPr>
        <w:t>casu</w:t>
      </w:r>
      <w:proofErr w:type="spellEnd"/>
      <w:r w:rsidR="009F2E73">
        <w:rPr>
          <w:sz w:val="26"/>
          <w:szCs w:val="26"/>
        </w:rPr>
        <w:t xml:space="preserve">.  </w:t>
      </w:r>
      <w:r w:rsidR="00E7738D">
        <w:rPr>
          <w:sz w:val="26"/>
          <w:szCs w:val="26"/>
        </w:rPr>
        <w:t>However, as 3</w:t>
      </w:r>
      <w:r w:rsidR="00E7738D" w:rsidRPr="00E7738D">
        <w:rPr>
          <w:sz w:val="26"/>
          <w:szCs w:val="26"/>
          <w:vertAlign w:val="superscript"/>
        </w:rPr>
        <w:t>rd</w:t>
      </w:r>
      <w:r w:rsidR="00E7738D">
        <w:rPr>
          <w:sz w:val="26"/>
          <w:szCs w:val="26"/>
        </w:rPr>
        <w:t xml:space="preserve"> respondent was contesting collection commission, I do not wish to disturb 1</w:t>
      </w:r>
      <w:r w:rsidR="00E7738D" w:rsidRPr="00E7738D">
        <w:rPr>
          <w:sz w:val="26"/>
          <w:szCs w:val="26"/>
          <w:vertAlign w:val="superscript"/>
        </w:rPr>
        <w:t>st</w:t>
      </w:r>
      <w:r w:rsidR="00E7738D">
        <w:rPr>
          <w:sz w:val="26"/>
          <w:szCs w:val="26"/>
        </w:rPr>
        <w:t xml:space="preserve"> and 2</w:t>
      </w:r>
      <w:r w:rsidR="00E7738D" w:rsidRPr="00E7738D">
        <w:rPr>
          <w:sz w:val="26"/>
          <w:szCs w:val="26"/>
          <w:vertAlign w:val="superscript"/>
        </w:rPr>
        <w:t>nd</w:t>
      </w:r>
      <w:r w:rsidR="00E7738D">
        <w:rPr>
          <w:sz w:val="26"/>
          <w:szCs w:val="26"/>
        </w:rPr>
        <w:t xml:space="preserve"> respondents’ award.</w:t>
      </w:r>
      <w:r w:rsidR="009F2E73">
        <w:rPr>
          <w:sz w:val="26"/>
          <w:szCs w:val="26"/>
        </w:rPr>
        <w:t xml:space="preserve">  </w:t>
      </w:r>
    </w:p>
    <w:p w:rsidR="00E673AB" w:rsidRDefault="00E673AB" w:rsidP="00C75FE3">
      <w:pPr>
        <w:spacing w:line="360" w:lineRule="auto"/>
        <w:ind w:left="1440" w:hanging="1440"/>
        <w:jc w:val="both"/>
        <w:rPr>
          <w:sz w:val="26"/>
          <w:szCs w:val="26"/>
        </w:rPr>
      </w:pPr>
    </w:p>
    <w:p w:rsidR="00ED2A27" w:rsidRDefault="00E673AB" w:rsidP="00C75FE3">
      <w:pPr>
        <w:spacing w:line="360" w:lineRule="auto"/>
        <w:ind w:left="1440" w:hanging="1440"/>
        <w:jc w:val="both"/>
        <w:rPr>
          <w:sz w:val="26"/>
          <w:szCs w:val="26"/>
        </w:rPr>
      </w:pPr>
      <w:r>
        <w:rPr>
          <w:sz w:val="26"/>
          <w:szCs w:val="26"/>
        </w:rPr>
        <w:t>[12]</w:t>
      </w:r>
      <w:r>
        <w:rPr>
          <w:sz w:val="26"/>
          <w:szCs w:val="26"/>
        </w:rPr>
        <w:tab/>
      </w:r>
      <w:r w:rsidR="009F2E73">
        <w:rPr>
          <w:sz w:val="26"/>
          <w:szCs w:val="26"/>
        </w:rPr>
        <w:t xml:space="preserve">I note that </w:t>
      </w:r>
      <w:r>
        <w:rPr>
          <w:sz w:val="26"/>
          <w:szCs w:val="26"/>
        </w:rPr>
        <w:t>1</w:t>
      </w:r>
      <w:r w:rsidRPr="00E673AB">
        <w:rPr>
          <w:sz w:val="26"/>
          <w:szCs w:val="26"/>
          <w:vertAlign w:val="superscript"/>
        </w:rPr>
        <w:t>st</w:t>
      </w:r>
      <w:r>
        <w:rPr>
          <w:sz w:val="26"/>
          <w:szCs w:val="26"/>
        </w:rPr>
        <w:t xml:space="preserve"> </w:t>
      </w:r>
      <w:r w:rsidR="009F2E73">
        <w:rPr>
          <w:sz w:val="26"/>
          <w:szCs w:val="26"/>
        </w:rPr>
        <w:t xml:space="preserve">and </w:t>
      </w:r>
      <w:r>
        <w:rPr>
          <w:sz w:val="26"/>
          <w:szCs w:val="26"/>
        </w:rPr>
        <w:t>2</w:t>
      </w:r>
      <w:r w:rsidRPr="00E673AB">
        <w:rPr>
          <w:sz w:val="26"/>
          <w:szCs w:val="26"/>
          <w:vertAlign w:val="superscript"/>
        </w:rPr>
        <w:t>nd</w:t>
      </w:r>
      <w:r>
        <w:rPr>
          <w:sz w:val="26"/>
          <w:szCs w:val="26"/>
        </w:rPr>
        <w:t xml:space="preserve"> </w:t>
      </w:r>
      <w:r w:rsidR="009F2E73">
        <w:rPr>
          <w:sz w:val="26"/>
          <w:szCs w:val="26"/>
        </w:rPr>
        <w:t>respondents declined collection commission on the basis that the liquidator had already charged for collection commission.  I find no legal support for this rationale.  If 3</w:t>
      </w:r>
      <w:r w:rsidR="009F2E73" w:rsidRPr="009F2E73">
        <w:rPr>
          <w:sz w:val="26"/>
          <w:szCs w:val="26"/>
          <w:vertAlign w:val="superscript"/>
        </w:rPr>
        <w:t>rd</w:t>
      </w:r>
      <w:r w:rsidR="009F2E73">
        <w:rPr>
          <w:sz w:val="26"/>
          <w:szCs w:val="26"/>
        </w:rPr>
        <w:t xml:space="preserve"> respondent decided to solicit for an agent to collect besides the one appointed by the court or Master of the High Court as the case may be, he was </w:t>
      </w:r>
      <w:r>
        <w:rPr>
          <w:sz w:val="26"/>
          <w:szCs w:val="26"/>
        </w:rPr>
        <w:t>legally</w:t>
      </w:r>
      <w:r w:rsidR="009F2E73">
        <w:rPr>
          <w:sz w:val="26"/>
          <w:szCs w:val="26"/>
        </w:rPr>
        <w:t xml:space="preserve"> bound to pay </w:t>
      </w:r>
      <w:r w:rsidR="00E73ABC">
        <w:rPr>
          <w:sz w:val="26"/>
          <w:szCs w:val="26"/>
        </w:rPr>
        <w:t xml:space="preserve">collection commission </w:t>
      </w:r>
      <w:r w:rsidR="009F2E73">
        <w:rPr>
          <w:sz w:val="26"/>
          <w:szCs w:val="26"/>
        </w:rPr>
        <w:t xml:space="preserve">upon collection by the agent of his choice.  </w:t>
      </w:r>
      <w:r>
        <w:rPr>
          <w:sz w:val="26"/>
          <w:szCs w:val="26"/>
        </w:rPr>
        <w:t>If he was later double charged in the sense that his appointed agent and that of the court o</w:t>
      </w:r>
      <w:r w:rsidR="00032DAC">
        <w:rPr>
          <w:sz w:val="26"/>
          <w:szCs w:val="26"/>
        </w:rPr>
        <w:t>r</w:t>
      </w:r>
      <w:r>
        <w:rPr>
          <w:sz w:val="26"/>
          <w:szCs w:val="26"/>
        </w:rPr>
        <w:t xml:space="preserve"> Master demanded collection commission, he had himself to blame because he put himself in that situation.</w:t>
      </w:r>
      <w:r w:rsidR="00032DAC">
        <w:rPr>
          <w:sz w:val="26"/>
          <w:szCs w:val="26"/>
        </w:rPr>
        <w:t xml:space="preserve">  Th</w:t>
      </w:r>
      <w:r>
        <w:rPr>
          <w:sz w:val="26"/>
          <w:szCs w:val="26"/>
        </w:rPr>
        <w:t xml:space="preserve">e view by the appellant that she is entitled to collection commission is </w:t>
      </w:r>
      <w:r w:rsidR="00032DAC">
        <w:rPr>
          <w:sz w:val="26"/>
          <w:szCs w:val="26"/>
        </w:rPr>
        <w:t xml:space="preserve">therefore </w:t>
      </w:r>
      <w:r>
        <w:rPr>
          <w:sz w:val="26"/>
          <w:szCs w:val="26"/>
        </w:rPr>
        <w:t>correct.  However, appellant’s case falls on the ground that she has claimed also for legal services rendered.</w:t>
      </w:r>
    </w:p>
    <w:p w:rsidR="002E3503" w:rsidRDefault="002E3503" w:rsidP="00C75FE3">
      <w:pPr>
        <w:spacing w:line="360" w:lineRule="auto"/>
        <w:ind w:left="1440" w:hanging="1440"/>
        <w:jc w:val="both"/>
        <w:rPr>
          <w:sz w:val="26"/>
          <w:szCs w:val="26"/>
        </w:rPr>
      </w:pPr>
    </w:p>
    <w:p w:rsidR="00E7738D" w:rsidRDefault="00DF0463" w:rsidP="00C75FE3">
      <w:pPr>
        <w:spacing w:line="360" w:lineRule="auto"/>
        <w:ind w:left="1440" w:hanging="1440"/>
        <w:jc w:val="both"/>
        <w:rPr>
          <w:sz w:val="26"/>
          <w:szCs w:val="26"/>
        </w:rPr>
      </w:pPr>
      <w:r>
        <w:rPr>
          <w:sz w:val="26"/>
          <w:szCs w:val="26"/>
        </w:rPr>
        <w:t>[1</w:t>
      </w:r>
      <w:r w:rsidR="00D3619D">
        <w:rPr>
          <w:sz w:val="26"/>
          <w:szCs w:val="26"/>
        </w:rPr>
        <w:t>3</w:t>
      </w:r>
      <w:r>
        <w:rPr>
          <w:sz w:val="26"/>
          <w:szCs w:val="26"/>
        </w:rPr>
        <w:t>]</w:t>
      </w:r>
      <w:r w:rsidR="00C26B8D">
        <w:rPr>
          <w:sz w:val="26"/>
          <w:szCs w:val="26"/>
        </w:rPr>
        <w:tab/>
      </w:r>
      <w:r w:rsidR="00E7738D">
        <w:rPr>
          <w:sz w:val="26"/>
          <w:szCs w:val="26"/>
        </w:rPr>
        <w:t xml:space="preserve">In </w:t>
      </w:r>
      <w:r w:rsidR="00032DAC">
        <w:rPr>
          <w:sz w:val="26"/>
          <w:szCs w:val="26"/>
        </w:rPr>
        <w:t>the result</w:t>
      </w:r>
      <w:r w:rsidR="00E7738D">
        <w:rPr>
          <w:sz w:val="26"/>
          <w:szCs w:val="26"/>
        </w:rPr>
        <w:t xml:space="preserve">, the appellant </w:t>
      </w:r>
      <w:r w:rsidR="00032DAC">
        <w:rPr>
          <w:sz w:val="26"/>
          <w:szCs w:val="26"/>
        </w:rPr>
        <w:t>having been awarded legal services’ costs and this court not inclined to disturb the decision of 1</w:t>
      </w:r>
      <w:r w:rsidR="00032DAC" w:rsidRPr="00032DAC">
        <w:rPr>
          <w:sz w:val="26"/>
          <w:szCs w:val="26"/>
          <w:vertAlign w:val="superscript"/>
        </w:rPr>
        <w:t>st</w:t>
      </w:r>
      <w:r w:rsidR="00032DAC">
        <w:rPr>
          <w:sz w:val="26"/>
          <w:szCs w:val="26"/>
        </w:rPr>
        <w:t xml:space="preserve"> and 2</w:t>
      </w:r>
      <w:r w:rsidR="00032DAC" w:rsidRPr="00032DAC">
        <w:rPr>
          <w:sz w:val="26"/>
          <w:szCs w:val="26"/>
          <w:vertAlign w:val="superscript"/>
        </w:rPr>
        <w:t>nd</w:t>
      </w:r>
      <w:r w:rsidR="00032DAC">
        <w:rPr>
          <w:sz w:val="26"/>
          <w:szCs w:val="26"/>
        </w:rPr>
        <w:t xml:space="preserve"> respondents, is not entitled to collection commission</w:t>
      </w:r>
      <w:r w:rsidR="00D3619D">
        <w:rPr>
          <w:sz w:val="26"/>
          <w:szCs w:val="26"/>
        </w:rPr>
        <w:t>.</w:t>
      </w:r>
      <w:r w:rsidR="00032DAC">
        <w:rPr>
          <w:sz w:val="26"/>
          <w:szCs w:val="26"/>
        </w:rPr>
        <w:t xml:space="preserve">  Appellant </w:t>
      </w:r>
      <w:r w:rsidR="00E7738D">
        <w:rPr>
          <w:sz w:val="26"/>
          <w:szCs w:val="26"/>
        </w:rPr>
        <w:t>should choose one and certainly not both in order to avoid “</w:t>
      </w:r>
      <w:r w:rsidR="00E7738D" w:rsidRPr="00830247">
        <w:rPr>
          <w:i/>
          <w:sz w:val="26"/>
          <w:szCs w:val="26"/>
        </w:rPr>
        <w:t>double charges</w:t>
      </w:r>
      <w:r w:rsidR="00E7738D">
        <w:rPr>
          <w:sz w:val="26"/>
          <w:szCs w:val="26"/>
        </w:rPr>
        <w:t>”</w:t>
      </w:r>
      <w:r w:rsidR="00331566">
        <w:rPr>
          <w:sz w:val="26"/>
          <w:szCs w:val="26"/>
        </w:rPr>
        <w:t xml:space="preserve"> as per Innes CJ </w:t>
      </w:r>
      <w:r w:rsidR="00331566" w:rsidRPr="00331566">
        <w:rPr>
          <w:i/>
          <w:sz w:val="26"/>
          <w:szCs w:val="26"/>
        </w:rPr>
        <w:t>supra</w:t>
      </w:r>
      <w:r w:rsidR="00E7738D">
        <w:rPr>
          <w:sz w:val="26"/>
          <w:szCs w:val="26"/>
        </w:rPr>
        <w:t>.</w:t>
      </w:r>
      <w:r w:rsidR="00331566" w:rsidRPr="00331566">
        <w:rPr>
          <w:sz w:val="26"/>
          <w:szCs w:val="26"/>
        </w:rPr>
        <w:t xml:space="preserve"> </w:t>
      </w:r>
      <w:r w:rsidR="00331566">
        <w:rPr>
          <w:sz w:val="26"/>
          <w:szCs w:val="26"/>
        </w:rPr>
        <w:t>In the above, there are no prospects of success in appellant’s application.</w:t>
      </w:r>
    </w:p>
    <w:p w:rsidR="00E7738D" w:rsidRDefault="00E7738D" w:rsidP="00C75FE3">
      <w:pPr>
        <w:spacing w:line="360" w:lineRule="auto"/>
        <w:ind w:left="1440" w:hanging="1440"/>
        <w:jc w:val="both"/>
        <w:rPr>
          <w:sz w:val="26"/>
          <w:szCs w:val="26"/>
        </w:rPr>
      </w:pPr>
    </w:p>
    <w:p w:rsidR="00BA084C" w:rsidRDefault="00E7738D" w:rsidP="00C75FE3">
      <w:pPr>
        <w:spacing w:line="360" w:lineRule="auto"/>
        <w:ind w:left="1440" w:hanging="1440"/>
        <w:jc w:val="both"/>
        <w:rPr>
          <w:sz w:val="26"/>
          <w:szCs w:val="26"/>
        </w:rPr>
      </w:pPr>
      <w:r>
        <w:rPr>
          <w:sz w:val="26"/>
          <w:szCs w:val="26"/>
        </w:rPr>
        <w:lastRenderedPageBreak/>
        <w:t>[1</w:t>
      </w:r>
      <w:r w:rsidR="00D3619D">
        <w:rPr>
          <w:sz w:val="26"/>
          <w:szCs w:val="26"/>
        </w:rPr>
        <w:t>4</w:t>
      </w:r>
      <w:r>
        <w:rPr>
          <w:sz w:val="26"/>
          <w:szCs w:val="26"/>
        </w:rPr>
        <w:t>]</w:t>
      </w:r>
      <w:r>
        <w:rPr>
          <w:sz w:val="26"/>
          <w:szCs w:val="26"/>
        </w:rPr>
        <w:tab/>
      </w:r>
      <w:r w:rsidR="00BA084C">
        <w:rPr>
          <w:sz w:val="26"/>
          <w:szCs w:val="26"/>
        </w:rPr>
        <w:t>Turning to the question of costs, it is my considered view that the record filed on behalf of 1</w:t>
      </w:r>
      <w:r w:rsidR="00BA084C" w:rsidRPr="00BA084C">
        <w:rPr>
          <w:sz w:val="26"/>
          <w:szCs w:val="26"/>
          <w:vertAlign w:val="superscript"/>
        </w:rPr>
        <w:t>st</w:t>
      </w:r>
      <w:r w:rsidR="00BA084C">
        <w:rPr>
          <w:sz w:val="26"/>
          <w:szCs w:val="26"/>
        </w:rPr>
        <w:t xml:space="preserve"> and 2</w:t>
      </w:r>
      <w:r w:rsidR="00BA084C" w:rsidRPr="00BA084C">
        <w:rPr>
          <w:sz w:val="26"/>
          <w:szCs w:val="26"/>
          <w:vertAlign w:val="superscript"/>
        </w:rPr>
        <w:t>nd</w:t>
      </w:r>
      <w:r w:rsidR="00BA084C">
        <w:rPr>
          <w:sz w:val="26"/>
          <w:szCs w:val="26"/>
        </w:rPr>
        <w:t xml:space="preserve"> respondents was not clear.  This was evident during the hearing where all parties, including respondents</w:t>
      </w:r>
      <w:r w:rsidR="009D0D05">
        <w:rPr>
          <w:sz w:val="26"/>
          <w:szCs w:val="26"/>
        </w:rPr>
        <w:t>,</w:t>
      </w:r>
      <w:r w:rsidR="00BA084C">
        <w:rPr>
          <w:sz w:val="26"/>
          <w:szCs w:val="26"/>
        </w:rPr>
        <w:t xml:space="preserve"> conceded that the record was insufficient to inform the court of how the decision</w:t>
      </w:r>
      <w:r w:rsidR="00F84259">
        <w:rPr>
          <w:sz w:val="26"/>
          <w:szCs w:val="26"/>
        </w:rPr>
        <w:t xml:space="preserve"> that applicant was entitled to E113,300.01</w:t>
      </w:r>
      <w:r w:rsidR="00BA084C">
        <w:rPr>
          <w:sz w:val="26"/>
          <w:szCs w:val="26"/>
        </w:rPr>
        <w:t xml:space="preserve"> was reached.  The matter had to be postponed in order to allow respondents to file a clear record.  I appreciate that on the return date, respondents did not file a record but </w:t>
      </w:r>
      <w:r w:rsidR="009D0D05">
        <w:rPr>
          <w:sz w:val="26"/>
          <w:szCs w:val="26"/>
        </w:rPr>
        <w:t xml:space="preserve">Counsel representing respondent </w:t>
      </w:r>
      <w:r w:rsidR="00F84259">
        <w:rPr>
          <w:sz w:val="26"/>
          <w:szCs w:val="26"/>
        </w:rPr>
        <w:t>did go</w:t>
      </w:r>
      <w:r w:rsidR="00BA084C">
        <w:rPr>
          <w:sz w:val="26"/>
          <w:szCs w:val="26"/>
        </w:rPr>
        <w:t xml:space="preserve"> back to h</w:t>
      </w:r>
      <w:r w:rsidR="009D0D05">
        <w:rPr>
          <w:sz w:val="26"/>
          <w:szCs w:val="26"/>
        </w:rPr>
        <w:t>is</w:t>
      </w:r>
      <w:r w:rsidR="00BA084C">
        <w:rPr>
          <w:sz w:val="26"/>
          <w:szCs w:val="26"/>
        </w:rPr>
        <w:t xml:space="preserve"> </w:t>
      </w:r>
      <w:r w:rsidR="009D0D05">
        <w:rPr>
          <w:sz w:val="26"/>
          <w:szCs w:val="26"/>
        </w:rPr>
        <w:t xml:space="preserve">client </w:t>
      </w:r>
      <w:r w:rsidR="00BA084C">
        <w:rPr>
          <w:sz w:val="26"/>
          <w:szCs w:val="26"/>
        </w:rPr>
        <w:t xml:space="preserve">for clarity on the issue.  This postponement was occasioned by the failure of respondents to file a concise clear record. </w:t>
      </w:r>
      <w:r w:rsidR="009D0D05">
        <w:rPr>
          <w:sz w:val="26"/>
          <w:szCs w:val="26"/>
        </w:rPr>
        <w:t xml:space="preserve"> This was so despite the request by app</w:t>
      </w:r>
      <w:r w:rsidR="0074722C">
        <w:rPr>
          <w:sz w:val="26"/>
          <w:szCs w:val="26"/>
        </w:rPr>
        <w:t>el</w:t>
      </w:r>
      <w:r w:rsidR="009D0D05">
        <w:rPr>
          <w:sz w:val="26"/>
          <w:szCs w:val="26"/>
        </w:rPr>
        <w:t>lant to give reasons for its ruling on the matter</w:t>
      </w:r>
      <w:r w:rsidR="000F3B1E">
        <w:rPr>
          <w:sz w:val="26"/>
          <w:szCs w:val="26"/>
        </w:rPr>
        <w:t>.  In other words, when app</w:t>
      </w:r>
      <w:r w:rsidR="0074722C">
        <w:rPr>
          <w:sz w:val="26"/>
          <w:szCs w:val="26"/>
        </w:rPr>
        <w:t>el</w:t>
      </w:r>
      <w:r w:rsidR="000F3B1E">
        <w:rPr>
          <w:sz w:val="26"/>
          <w:szCs w:val="26"/>
        </w:rPr>
        <w:t>lant requested for reasons for the ruling, this was an opportunity for</w:t>
      </w:r>
      <w:r w:rsidR="00781C76">
        <w:rPr>
          <w:sz w:val="26"/>
          <w:szCs w:val="26"/>
        </w:rPr>
        <w:t xml:space="preserve"> 1</w:t>
      </w:r>
      <w:r w:rsidR="00781C76" w:rsidRPr="00781C76">
        <w:rPr>
          <w:sz w:val="26"/>
          <w:szCs w:val="26"/>
          <w:vertAlign w:val="superscript"/>
        </w:rPr>
        <w:t>st</w:t>
      </w:r>
      <w:r w:rsidR="00781C76">
        <w:rPr>
          <w:sz w:val="26"/>
          <w:szCs w:val="26"/>
        </w:rPr>
        <w:t xml:space="preserve"> and 2</w:t>
      </w:r>
      <w:r w:rsidR="00781C76" w:rsidRPr="00781C76">
        <w:rPr>
          <w:sz w:val="26"/>
          <w:szCs w:val="26"/>
          <w:vertAlign w:val="superscript"/>
        </w:rPr>
        <w:t>nd</w:t>
      </w:r>
      <w:r w:rsidR="00781C76">
        <w:rPr>
          <w:sz w:val="26"/>
          <w:szCs w:val="26"/>
        </w:rPr>
        <w:t xml:space="preserve"> </w:t>
      </w:r>
      <w:r w:rsidR="000F3B1E">
        <w:rPr>
          <w:sz w:val="26"/>
          <w:szCs w:val="26"/>
        </w:rPr>
        <w:t>respondent</w:t>
      </w:r>
      <w:r w:rsidR="00781C76">
        <w:rPr>
          <w:sz w:val="26"/>
          <w:szCs w:val="26"/>
        </w:rPr>
        <w:t>s</w:t>
      </w:r>
      <w:r w:rsidR="000F3B1E">
        <w:rPr>
          <w:sz w:val="26"/>
          <w:szCs w:val="26"/>
        </w:rPr>
        <w:t xml:space="preserve"> to revisit the record. </w:t>
      </w:r>
      <w:r w:rsidR="00F84259">
        <w:rPr>
          <w:sz w:val="26"/>
          <w:szCs w:val="26"/>
        </w:rPr>
        <w:t xml:space="preserve"> </w:t>
      </w:r>
      <w:r w:rsidR="00781C76">
        <w:rPr>
          <w:sz w:val="26"/>
          <w:szCs w:val="26"/>
        </w:rPr>
        <w:t>They</w:t>
      </w:r>
      <w:r w:rsidR="000F3B1E">
        <w:rPr>
          <w:sz w:val="26"/>
          <w:szCs w:val="26"/>
        </w:rPr>
        <w:t xml:space="preserve"> did not do so and this ne</w:t>
      </w:r>
      <w:r w:rsidR="00F84259">
        <w:rPr>
          <w:sz w:val="26"/>
          <w:szCs w:val="26"/>
        </w:rPr>
        <w:t>cessitate</w:t>
      </w:r>
      <w:r w:rsidR="000F3B1E">
        <w:rPr>
          <w:sz w:val="26"/>
          <w:szCs w:val="26"/>
        </w:rPr>
        <w:t>d the postponement by court.  In my view this was unnecessary in the light of app</w:t>
      </w:r>
      <w:r w:rsidR="0074722C">
        <w:rPr>
          <w:sz w:val="26"/>
          <w:szCs w:val="26"/>
        </w:rPr>
        <w:t>el</w:t>
      </w:r>
      <w:r w:rsidR="000F3B1E">
        <w:rPr>
          <w:sz w:val="26"/>
          <w:szCs w:val="26"/>
        </w:rPr>
        <w:t>lant’s prior request.</w:t>
      </w:r>
      <w:r w:rsidR="009D0D05">
        <w:rPr>
          <w:sz w:val="26"/>
          <w:szCs w:val="26"/>
        </w:rPr>
        <w:t xml:space="preserve"> </w:t>
      </w:r>
      <w:r w:rsidR="00BA084C">
        <w:rPr>
          <w:sz w:val="26"/>
          <w:szCs w:val="26"/>
        </w:rPr>
        <w:t xml:space="preserve"> In the circumstances, I am not inclined to exercise my discretion in </w:t>
      </w:r>
      <w:proofErr w:type="spellStart"/>
      <w:r w:rsidR="00BA084C">
        <w:rPr>
          <w:sz w:val="26"/>
          <w:szCs w:val="26"/>
        </w:rPr>
        <w:t>favour</w:t>
      </w:r>
      <w:proofErr w:type="spellEnd"/>
      <w:r w:rsidR="00BA084C">
        <w:rPr>
          <w:sz w:val="26"/>
          <w:szCs w:val="26"/>
        </w:rPr>
        <w:t xml:space="preserve"> of </w:t>
      </w:r>
      <w:r w:rsidR="000F3B1E">
        <w:rPr>
          <w:sz w:val="26"/>
          <w:szCs w:val="26"/>
        </w:rPr>
        <w:t>respondent</w:t>
      </w:r>
      <w:r w:rsidR="00781C76">
        <w:rPr>
          <w:sz w:val="26"/>
          <w:szCs w:val="26"/>
        </w:rPr>
        <w:t>s</w:t>
      </w:r>
      <w:r w:rsidR="000F3B1E">
        <w:rPr>
          <w:sz w:val="26"/>
          <w:szCs w:val="26"/>
        </w:rPr>
        <w:t xml:space="preserve"> on costs of </w:t>
      </w:r>
      <w:r w:rsidR="00BA084C">
        <w:rPr>
          <w:sz w:val="26"/>
          <w:szCs w:val="26"/>
        </w:rPr>
        <w:t>this application.</w:t>
      </w:r>
    </w:p>
    <w:p w:rsidR="00BA084C" w:rsidRDefault="00BA084C" w:rsidP="00C75FE3">
      <w:pPr>
        <w:spacing w:line="360" w:lineRule="auto"/>
        <w:ind w:left="1440" w:hanging="1440"/>
        <w:jc w:val="both"/>
        <w:rPr>
          <w:sz w:val="26"/>
          <w:szCs w:val="26"/>
        </w:rPr>
      </w:pPr>
    </w:p>
    <w:p w:rsidR="00BA084C" w:rsidRDefault="00BA084C" w:rsidP="00C75FE3">
      <w:pPr>
        <w:spacing w:line="360" w:lineRule="auto"/>
        <w:ind w:left="1440" w:hanging="1440"/>
        <w:jc w:val="both"/>
        <w:rPr>
          <w:sz w:val="26"/>
          <w:szCs w:val="26"/>
        </w:rPr>
      </w:pPr>
      <w:r>
        <w:rPr>
          <w:sz w:val="26"/>
          <w:szCs w:val="26"/>
        </w:rPr>
        <w:t>[1</w:t>
      </w:r>
      <w:r w:rsidR="00D3619D">
        <w:rPr>
          <w:sz w:val="26"/>
          <w:szCs w:val="26"/>
        </w:rPr>
        <w:t>5</w:t>
      </w:r>
      <w:r>
        <w:rPr>
          <w:sz w:val="26"/>
          <w:szCs w:val="26"/>
        </w:rPr>
        <w:t>]</w:t>
      </w:r>
      <w:r>
        <w:rPr>
          <w:sz w:val="26"/>
          <w:szCs w:val="26"/>
        </w:rPr>
        <w:tab/>
        <w:t>In the result, I enter the following orders:</w:t>
      </w:r>
    </w:p>
    <w:p w:rsidR="0072130C" w:rsidRDefault="0072130C" w:rsidP="00C75FE3">
      <w:pPr>
        <w:spacing w:line="360" w:lineRule="auto"/>
        <w:ind w:left="1440" w:hanging="1440"/>
        <w:jc w:val="both"/>
        <w:rPr>
          <w:sz w:val="26"/>
          <w:szCs w:val="26"/>
        </w:rPr>
      </w:pPr>
    </w:p>
    <w:p w:rsidR="00BA084C" w:rsidRDefault="00BA084C" w:rsidP="00BA084C">
      <w:pPr>
        <w:pStyle w:val="ListParagraph"/>
        <w:numPr>
          <w:ilvl w:val="0"/>
          <w:numId w:val="1"/>
        </w:numPr>
        <w:spacing w:line="360" w:lineRule="auto"/>
        <w:jc w:val="both"/>
        <w:rPr>
          <w:sz w:val="26"/>
          <w:szCs w:val="26"/>
        </w:rPr>
      </w:pPr>
      <w:r>
        <w:rPr>
          <w:sz w:val="26"/>
          <w:szCs w:val="26"/>
        </w:rPr>
        <w:t>App</w:t>
      </w:r>
      <w:r w:rsidR="0074722C">
        <w:rPr>
          <w:sz w:val="26"/>
          <w:szCs w:val="26"/>
        </w:rPr>
        <w:t>el</w:t>
      </w:r>
      <w:r>
        <w:rPr>
          <w:sz w:val="26"/>
          <w:szCs w:val="26"/>
        </w:rPr>
        <w:t>lant’s application is dismissed;</w:t>
      </w:r>
    </w:p>
    <w:p w:rsidR="00BA084C" w:rsidRPr="00BA084C" w:rsidRDefault="00BA084C" w:rsidP="00BA084C">
      <w:pPr>
        <w:pStyle w:val="ListParagraph"/>
        <w:numPr>
          <w:ilvl w:val="0"/>
          <w:numId w:val="1"/>
        </w:numPr>
        <w:spacing w:line="360" w:lineRule="auto"/>
        <w:jc w:val="both"/>
        <w:rPr>
          <w:sz w:val="26"/>
          <w:szCs w:val="26"/>
        </w:rPr>
      </w:pPr>
      <w:r>
        <w:rPr>
          <w:sz w:val="26"/>
          <w:szCs w:val="26"/>
        </w:rPr>
        <w:t>Each party to bear its own costs.</w:t>
      </w:r>
    </w:p>
    <w:p w:rsidR="001C46A1" w:rsidRDefault="001C46A1" w:rsidP="00C75FE3">
      <w:pPr>
        <w:spacing w:line="360" w:lineRule="auto"/>
        <w:ind w:left="1440" w:hanging="1440"/>
        <w:jc w:val="both"/>
        <w:rPr>
          <w:sz w:val="26"/>
          <w:szCs w:val="26"/>
        </w:rPr>
      </w:pPr>
      <w:r>
        <w:rPr>
          <w:sz w:val="26"/>
          <w:szCs w:val="26"/>
        </w:rPr>
        <w:tab/>
      </w:r>
      <w:r>
        <w:rPr>
          <w:sz w:val="26"/>
          <w:szCs w:val="26"/>
        </w:rPr>
        <w:tab/>
      </w:r>
    </w:p>
    <w:p w:rsidR="00AC21FF" w:rsidRDefault="00AC21FF" w:rsidP="00C75FE3">
      <w:pPr>
        <w:jc w:val="center"/>
        <w:rPr>
          <w:sz w:val="26"/>
          <w:szCs w:val="26"/>
        </w:rPr>
      </w:pPr>
    </w:p>
    <w:p w:rsidR="00857E7F" w:rsidRDefault="00857E7F" w:rsidP="00C75FE3">
      <w:pPr>
        <w:jc w:val="center"/>
        <w:rPr>
          <w:sz w:val="26"/>
          <w:szCs w:val="26"/>
        </w:rPr>
      </w:pPr>
    </w:p>
    <w:p w:rsidR="00C75FE3" w:rsidRPr="00B9522C" w:rsidRDefault="001D775A" w:rsidP="00C75FE3">
      <w:pPr>
        <w:jc w:val="center"/>
        <w:rPr>
          <w:sz w:val="26"/>
          <w:szCs w:val="26"/>
        </w:rPr>
      </w:pPr>
      <w:r>
        <w:rPr>
          <w:sz w:val="26"/>
          <w:szCs w:val="26"/>
        </w:rPr>
        <w:t xml:space="preserve"> </w:t>
      </w:r>
      <w:r w:rsidR="00C75FE3">
        <w:rPr>
          <w:sz w:val="26"/>
          <w:szCs w:val="26"/>
        </w:rPr>
        <w:t>_________________</w:t>
      </w:r>
    </w:p>
    <w:p w:rsidR="00C75FE3" w:rsidRPr="002B6B4F" w:rsidRDefault="00C75FE3" w:rsidP="00C75FE3">
      <w:pPr>
        <w:jc w:val="center"/>
        <w:rPr>
          <w:b/>
          <w:sz w:val="26"/>
          <w:szCs w:val="26"/>
        </w:rPr>
      </w:pPr>
      <w:r w:rsidRPr="002B6B4F">
        <w:rPr>
          <w:b/>
          <w:sz w:val="26"/>
          <w:szCs w:val="26"/>
        </w:rPr>
        <w:t>M. DLAMINI</w:t>
      </w:r>
    </w:p>
    <w:p w:rsidR="00C75FE3" w:rsidRPr="002B6B4F" w:rsidRDefault="00C75FE3" w:rsidP="00C75FE3">
      <w:pPr>
        <w:jc w:val="center"/>
        <w:rPr>
          <w:b/>
          <w:sz w:val="26"/>
          <w:szCs w:val="26"/>
        </w:rPr>
      </w:pPr>
      <w:r w:rsidRPr="002B6B4F">
        <w:rPr>
          <w:b/>
          <w:sz w:val="26"/>
          <w:szCs w:val="26"/>
        </w:rPr>
        <w:t>JUDGE</w:t>
      </w:r>
    </w:p>
    <w:p w:rsidR="00C75FE3" w:rsidRDefault="00C75FE3" w:rsidP="00C75FE3">
      <w:pPr>
        <w:jc w:val="center"/>
        <w:rPr>
          <w:b/>
          <w:sz w:val="26"/>
          <w:szCs w:val="26"/>
        </w:rPr>
      </w:pPr>
    </w:p>
    <w:p w:rsidR="00C75FE3" w:rsidRPr="002B6B4F" w:rsidRDefault="00C75FE3" w:rsidP="00C75FE3">
      <w:pPr>
        <w:spacing w:line="360" w:lineRule="auto"/>
        <w:jc w:val="both"/>
        <w:rPr>
          <w:b/>
          <w:sz w:val="26"/>
          <w:szCs w:val="26"/>
        </w:rPr>
      </w:pPr>
      <w:r w:rsidRPr="002B6B4F">
        <w:rPr>
          <w:b/>
          <w:sz w:val="26"/>
          <w:szCs w:val="26"/>
        </w:rPr>
        <w:t>For Applicant</w:t>
      </w:r>
      <w:r w:rsidRPr="002B6B4F">
        <w:rPr>
          <w:b/>
          <w:sz w:val="26"/>
          <w:szCs w:val="26"/>
        </w:rPr>
        <w:tab/>
      </w:r>
      <w:r w:rsidRPr="002B6B4F">
        <w:rPr>
          <w:b/>
          <w:sz w:val="26"/>
          <w:szCs w:val="26"/>
        </w:rPr>
        <w:tab/>
      </w:r>
      <w:r w:rsidR="0063451E">
        <w:rPr>
          <w:b/>
          <w:sz w:val="26"/>
          <w:szCs w:val="26"/>
        </w:rPr>
        <w:tab/>
      </w:r>
      <w:r w:rsidRPr="002B6B4F">
        <w:rPr>
          <w:b/>
          <w:sz w:val="26"/>
          <w:szCs w:val="26"/>
        </w:rPr>
        <w:t>:</w:t>
      </w:r>
      <w:r w:rsidRPr="002B6B4F">
        <w:rPr>
          <w:b/>
          <w:sz w:val="26"/>
          <w:szCs w:val="26"/>
        </w:rPr>
        <w:tab/>
      </w:r>
      <w:r>
        <w:rPr>
          <w:b/>
          <w:sz w:val="26"/>
          <w:szCs w:val="26"/>
        </w:rPr>
        <w:t>M</w:t>
      </w:r>
      <w:r w:rsidRPr="002B6B4F">
        <w:rPr>
          <w:b/>
          <w:sz w:val="26"/>
          <w:szCs w:val="26"/>
        </w:rPr>
        <w:t xml:space="preserve">. </w:t>
      </w:r>
      <w:proofErr w:type="spellStart"/>
      <w:r>
        <w:rPr>
          <w:b/>
          <w:sz w:val="26"/>
          <w:szCs w:val="26"/>
        </w:rPr>
        <w:t>Nkomonde</w:t>
      </w:r>
      <w:proofErr w:type="spellEnd"/>
    </w:p>
    <w:p w:rsidR="00C75FE3" w:rsidRPr="002B6B4F" w:rsidRDefault="00C75FE3" w:rsidP="00C75FE3">
      <w:pPr>
        <w:spacing w:line="360" w:lineRule="auto"/>
        <w:jc w:val="both"/>
        <w:rPr>
          <w:b/>
          <w:sz w:val="26"/>
          <w:szCs w:val="26"/>
        </w:rPr>
      </w:pPr>
      <w:r w:rsidRPr="002B6B4F">
        <w:rPr>
          <w:b/>
          <w:sz w:val="26"/>
          <w:szCs w:val="26"/>
        </w:rPr>
        <w:t>For 1</w:t>
      </w:r>
      <w:r w:rsidRPr="002B6B4F">
        <w:rPr>
          <w:b/>
          <w:sz w:val="26"/>
          <w:szCs w:val="26"/>
          <w:vertAlign w:val="superscript"/>
        </w:rPr>
        <w:t>st</w:t>
      </w:r>
      <w:r w:rsidRPr="002B6B4F">
        <w:rPr>
          <w:b/>
          <w:sz w:val="26"/>
          <w:szCs w:val="26"/>
        </w:rPr>
        <w:t xml:space="preserve"> </w:t>
      </w:r>
      <w:r w:rsidR="0063451E">
        <w:rPr>
          <w:b/>
          <w:sz w:val="26"/>
          <w:szCs w:val="26"/>
        </w:rPr>
        <w:t xml:space="preserve">and </w:t>
      </w:r>
      <w:r w:rsidR="0063451E" w:rsidRPr="002B6B4F">
        <w:rPr>
          <w:b/>
          <w:sz w:val="26"/>
          <w:szCs w:val="26"/>
        </w:rPr>
        <w:t>2</w:t>
      </w:r>
      <w:r w:rsidR="0063451E" w:rsidRPr="002B6B4F">
        <w:rPr>
          <w:b/>
          <w:sz w:val="26"/>
          <w:szCs w:val="26"/>
          <w:vertAlign w:val="superscript"/>
        </w:rPr>
        <w:t>nd</w:t>
      </w:r>
      <w:r w:rsidR="0063451E" w:rsidRPr="002B6B4F">
        <w:rPr>
          <w:b/>
          <w:sz w:val="26"/>
          <w:szCs w:val="26"/>
        </w:rPr>
        <w:t xml:space="preserve"> </w:t>
      </w:r>
      <w:r w:rsidRPr="002B6B4F">
        <w:rPr>
          <w:b/>
          <w:sz w:val="26"/>
          <w:szCs w:val="26"/>
        </w:rPr>
        <w:t>Respondent</w:t>
      </w:r>
      <w:r w:rsidR="0063451E">
        <w:rPr>
          <w:b/>
          <w:sz w:val="26"/>
          <w:szCs w:val="26"/>
        </w:rPr>
        <w:t>s</w:t>
      </w:r>
      <w:r w:rsidRPr="002B6B4F">
        <w:rPr>
          <w:b/>
          <w:sz w:val="26"/>
          <w:szCs w:val="26"/>
        </w:rPr>
        <w:tab/>
        <w:t>:</w:t>
      </w:r>
      <w:r w:rsidRPr="002B6B4F">
        <w:rPr>
          <w:b/>
          <w:sz w:val="26"/>
          <w:szCs w:val="26"/>
        </w:rPr>
        <w:tab/>
      </w:r>
      <w:r w:rsidR="0063451E">
        <w:rPr>
          <w:b/>
          <w:sz w:val="26"/>
          <w:szCs w:val="26"/>
        </w:rPr>
        <w:t>N</w:t>
      </w:r>
      <w:r w:rsidRPr="002B6B4F">
        <w:rPr>
          <w:b/>
          <w:sz w:val="26"/>
          <w:szCs w:val="26"/>
        </w:rPr>
        <w:t xml:space="preserve">. </w:t>
      </w:r>
      <w:proofErr w:type="spellStart"/>
      <w:r>
        <w:rPr>
          <w:b/>
          <w:sz w:val="26"/>
          <w:szCs w:val="26"/>
        </w:rPr>
        <w:t>Fakudze</w:t>
      </w:r>
      <w:proofErr w:type="spellEnd"/>
    </w:p>
    <w:p w:rsidR="00C75FE3" w:rsidRPr="00B9522C" w:rsidRDefault="00C75FE3" w:rsidP="00F7316F">
      <w:pPr>
        <w:spacing w:line="360" w:lineRule="auto"/>
        <w:jc w:val="both"/>
        <w:rPr>
          <w:sz w:val="26"/>
          <w:szCs w:val="26"/>
        </w:rPr>
      </w:pPr>
      <w:r w:rsidRPr="002B6B4F">
        <w:rPr>
          <w:b/>
          <w:sz w:val="26"/>
          <w:szCs w:val="26"/>
        </w:rPr>
        <w:t>For 3</w:t>
      </w:r>
      <w:r w:rsidRPr="002B6B4F">
        <w:rPr>
          <w:b/>
          <w:sz w:val="26"/>
          <w:szCs w:val="26"/>
          <w:vertAlign w:val="superscript"/>
        </w:rPr>
        <w:t>rd</w:t>
      </w:r>
      <w:r w:rsidRPr="002B6B4F">
        <w:rPr>
          <w:b/>
          <w:sz w:val="26"/>
          <w:szCs w:val="26"/>
        </w:rPr>
        <w:t xml:space="preserve"> Respondent</w:t>
      </w:r>
      <w:r w:rsidR="0063451E">
        <w:rPr>
          <w:b/>
          <w:sz w:val="26"/>
          <w:szCs w:val="26"/>
        </w:rPr>
        <w:tab/>
      </w:r>
      <w:r w:rsidR="0063451E">
        <w:rPr>
          <w:b/>
          <w:sz w:val="26"/>
          <w:szCs w:val="26"/>
        </w:rPr>
        <w:tab/>
      </w:r>
      <w:r w:rsidR="0063451E">
        <w:rPr>
          <w:b/>
          <w:sz w:val="26"/>
          <w:szCs w:val="26"/>
        </w:rPr>
        <w:tab/>
      </w:r>
      <w:r w:rsidRPr="002B6B4F">
        <w:rPr>
          <w:b/>
          <w:sz w:val="26"/>
          <w:szCs w:val="26"/>
        </w:rPr>
        <w:t>:</w:t>
      </w:r>
      <w:r w:rsidRPr="002B6B4F">
        <w:rPr>
          <w:b/>
          <w:sz w:val="26"/>
          <w:szCs w:val="26"/>
        </w:rPr>
        <w:tab/>
      </w:r>
      <w:r w:rsidR="0063451E">
        <w:rPr>
          <w:b/>
          <w:sz w:val="26"/>
          <w:szCs w:val="26"/>
        </w:rPr>
        <w:t xml:space="preserve">T. </w:t>
      </w:r>
      <w:proofErr w:type="spellStart"/>
      <w:r w:rsidR="0063451E">
        <w:rPr>
          <w:b/>
          <w:sz w:val="26"/>
          <w:szCs w:val="26"/>
        </w:rPr>
        <w:t>Ndlovu</w:t>
      </w:r>
      <w:proofErr w:type="spellEnd"/>
      <w:r w:rsidR="0063451E">
        <w:rPr>
          <w:b/>
          <w:sz w:val="26"/>
          <w:szCs w:val="26"/>
        </w:rPr>
        <w:t xml:space="preserve"> </w:t>
      </w:r>
    </w:p>
    <w:sectPr w:rsidR="00C75FE3" w:rsidRPr="00B9522C" w:rsidSect="00BD5D5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725" w:rsidRDefault="00365725" w:rsidP="00C92149">
      <w:r>
        <w:separator/>
      </w:r>
    </w:p>
  </w:endnote>
  <w:endnote w:type="continuationSeparator" w:id="0">
    <w:p w:rsidR="00365725" w:rsidRDefault="00365725" w:rsidP="00C92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877"/>
      <w:docPartObj>
        <w:docPartGallery w:val="Page Numbers (Bottom of Page)"/>
        <w:docPartUnique/>
      </w:docPartObj>
    </w:sdtPr>
    <w:sdtEndPr/>
    <w:sdtContent>
      <w:p w:rsidR="009F2E73" w:rsidRDefault="00F7316F">
        <w:pPr>
          <w:pStyle w:val="Footer"/>
          <w:jc w:val="right"/>
        </w:pPr>
        <w:r>
          <w:fldChar w:fldCharType="begin"/>
        </w:r>
        <w:r>
          <w:instrText xml:space="preserve"> PAGE   \* MERGEFORMAT </w:instrText>
        </w:r>
        <w:r>
          <w:fldChar w:fldCharType="separate"/>
        </w:r>
        <w:r w:rsidR="00BA2782">
          <w:rPr>
            <w:noProof/>
          </w:rPr>
          <w:t>1</w:t>
        </w:r>
        <w:r>
          <w:rPr>
            <w:noProof/>
          </w:rPr>
          <w:fldChar w:fldCharType="end"/>
        </w:r>
      </w:p>
    </w:sdtContent>
  </w:sdt>
  <w:p w:rsidR="009F2E73" w:rsidRDefault="009F2E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725" w:rsidRDefault="00365725" w:rsidP="00C92149">
      <w:r>
        <w:separator/>
      </w:r>
    </w:p>
  </w:footnote>
  <w:footnote w:type="continuationSeparator" w:id="0">
    <w:p w:rsidR="00365725" w:rsidRDefault="00365725" w:rsidP="00C921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528F"/>
    <w:multiLevelType w:val="hybridMultilevel"/>
    <w:tmpl w:val="8D64AF8A"/>
    <w:lvl w:ilvl="0" w:tplc="8D3CA5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ACD0E33"/>
    <w:multiLevelType w:val="hybridMultilevel"/>
    <w:tmpl w:val="D9EE1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FE3"/>
    <w:rsid w:val="00032DAC"/>
    <w:rsid w:val="000D44FF"/>
    <w:rsid w:val="000F3B1E"/>
    <w:rsid w:val="00190E6F"/>
    <w:rsid w:val="001C46A1"/>
    <w:rsid w:val="001D775A"/>
    <w:rsid w:val="001E6050"/>
    <w:rsid w:val="00235EF0"/>
    <w:rsid w:val="0025438B"/>
    <w:rsid w:val="00254415"/>
    <w:rsid w:val="002612EE"/>
    <w:rsid w:val="002743AE"/>
    <w:rsid w:val="002E3503"/>
    <w:rsid w:val="00331566"/>
    <w:rsid w:val="00365725"/>
    <w:rsid w:val="003705F9"/>
    <w:rsid w:val="0038121D"/>
    <w:rsid w:val="003A0D19"/>
    <w:rsid w:val="003A6D95"/>
    <w:rsid w:val="003F1D23"/>
    <w:rsid w:val="00530CE9"/>
    <w:rsid w:val="00585128"/>
    <w:rsid w:val="0063451E"/>
    <w:rsid w:val="00634575"/>
    <w:rsid w:val="006464C1"/>
    <w:rsid w:val="006809EC"/>
    <w:rsid w:val="006D3212"/>
    <w:rsid w:val="006F17F8"/>
    <w:rsid w:val="00714924"/>
    <w:rsid w:val="0072130C"/>
    <w:rsid w:val="007263BA"/>
    <w:rsid w:val="007436B2"/>
    <w:rsid w:val="0074722C"/>
    <w:rsid w:val="0075094A"/>
    <w:rsid w:val="00772326"/>
    <w:rsid w:val="00781C76"/>
    <w:rsid w:val="00792EC7"/>
    <w:rsid w:val="007A0972"/>
    <w:rsid w:val="007E57DD"/>
    <w:rsid w:val="00812410"/>
    <w:rsid w:val="00830247"/>
    <w:rsid w:val="00850B2D"/>
    <w:rsid w:val="00857E7F"/>
    <w:rsid w:val="008971C3"/>
    <w:rsid w:val="0091419D"/>
    <w:rsid w:val="009D0D05"/>
    <w:rsid w:val="009F2E73"/>
    <w:rsid w:val="00A30685"/>
    <w:rsid w:val="00AC21FF"/>
    <w:rsid w:val="00B61F62"/>
    <w:rsid w:val="00B72F2C"/>
    <w:rsid w:val="00BA084C"/>
    <w:rsid w:val="00BA2782"/>
    <w:rsid w:val="00BB00E2"/>
    <w:rsid w:val="00BD5D5F"/>
    <w:rsid w:val="00C039FD"/>
    <w:rsid w:val="00C26B8D"/>
    <w:rsid w:val="00C75FE3"/>
    <w:rsid w:val="00C92149"/>
    <w:rsid w:val="00CF1527"/>
    <w:rsid w:val="00D25AF6"/>
    <w:rsid w:val="00D3619D"/>
    <w:rsid w:val="00DF0463"/>
    <w:rsid w:val="00E24827"/>
    <w:rsid w:val="00E673AB"/>
    <w:rsid w:val="00E73ABC"/>
    <w:rsid w:val="00E7738D"/>
    <w:rsid w:val="00EB5450"/>
    <w:rsid w:val="00ED2A27"/>
    <w:rsid w:val="00F7316F"/>
    <w:rsid w:val="00F778C8"/>
    <w:rsid w:val="00F84259"/>
    <w:rsid w:val="00FE3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F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5FE3"/>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5FE3"/>
    <w:rPr>
      <w:rFonts w:ascii="Tahoma" w:hAnsi="Tahoma" w:cs="Tahoma"/>
      <w:sz w:val="16"/>
      <w:szCs w:val="16"/>
    </w:rPr>
  </w:style>
  <w:style w:type="character" w:customStyle="1" w:styleId="BalloonTextChar">
    <w:name w:val="Balloon Text Char"/>
    <w:basedOn w:val="DefaultParagraphFont"/>
    <w:link w:val="BalloonText"/>
    <w:uiPriority w:val="99"/>
    <w:semiHidden/>
    <w:rsid w:val="00C75FE3"/>
    <w:rPr>
      <w:rFonts w:ascii="Tahoma" w:eastAsia="Times New Roman" w:hAnsi="Tahoma" w:cs="Tahoma"/>
      <w:sz w:val="16"/>
      <w:szCs w:val="16"/>
    </w:rPr>
  </w:style>
  <w:style w:type="paragraph" w:styleId="ListParagraph">
    <w:name w:val="List Paragraph"/>
    <w:basedOn w:val="Normal"/>
    <w:uiPriority w:val="34"/>
    <w:qFormat/>
    <w:rsid w:val="00BA084C"/>
    <w:pPr>
      <w:ind w:left="720"/>
      <w:contextualSpacing/>
    </w:pPr>
  </w:style>
  <w:style w:type="paragraph" w:styleId="Header">
    <w:name w:val="header"/>
    <w:basedOn w:val="Normal"/>
    <w:link w:val="HeaderChar"/>
    <w:uiPriority w:val="99"/>
    <w:semiHidden/>
    <w:unhideWhenUsed/>
    <w:rsid w:val="00C92149"/>
    <w:pPr>
      <w:tabs>
        <w:tab w:val="center" w:pos="4680"/>
        <w:tab w:val="right" w:pos="9360"/>
      </w:tabs>
    </w:pPr>
  </w:style>
  <w:style w:type="character" w:customStyle="1" w:styleId="HeaderChar">
    <w:name w:val="Header Char"/>
    <w:basedOn w:val="DefaultParagraphFont"/>
    <w:link w:val="Header"/>
    <w:uiPriority w:val="99"/>
    <w:semiHidden/>
    <w:rsid w:val="00C921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92149"/>
    <w:pPr>
      <w:tabs>
        <w:tab w:val="center" w:pos="4680"/>
        <w:tab w:val="right" w:pos="9360"/>
      </w:tabs>
    </w:pPr>
  </w:style>
  <w:style w:type="character" w:customStyle="1" w:styleId="FooterChar">
    <w:name w:val="Footer Char"/>
    <w:basedOn w:val="DefaultParagraphFont"/>
    <w:link w:val="Footer"/>
    <w:uiPriority w:val="99"/>
    <w:rsid w:val="00C9214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F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5FE3"/>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5FE3"/>
    <w:rPr>
      <w:rFonts w:ascii="Tahoma" w:hAnsi="Tahoma" w:cs="Tahoma"/>
      <w:sz w:val="16"/>
      <w:szCs w:val="16"/>
    </w:rPr>
  </w:style>
  <w:style w:type="character" w:customStyle="1" w:styleId="BalloonTextChar">
    <w:name w:val="Balloon Text Char"/>
    <w:basedOn w:val="DefaultParagraphFont"/>
    <w:link w:val="BalloonText"/>
    <w:uiPriority w:val="99"/>
    <w:semiHidden/>
    <w:rsid w:val="00C75FE3"/>
    <w:rPr>
      <w:rFonts w:ascii="Tahoma" w:eastAsia="Times New Roman" w:hAnsi="Tahoma" w:cs="Tahoma"/>
      <w:sz w:val="16"/>
      <w:szCs w:val="16"/>
    </w:rPr>
  </w:style>
  <w:style w:type="paragraph" w:styleId="ListParagraph">
    <w:name w:val="List Paragraph"/>
    <w:basedOn w:val="Normal"/>
    <w:uiPriority w:val="34"/>
    <w:qFormat/>
    <w:rsid w:val="00BA084C"/>
    <w:pPr>
      <w:ind w:left="720"/>
      <w:contextualSpacing/>
    </w:pPr>
  </w:style>
  <w:style w:type="paragraph" w:styleId="Header">
    <w:name w:val="header"/>
    <w:basedOn w:val="Normal"/>
    <w:link w:val="HeaderChar"/>
    <w:uiPriority w:val="99"/>
    <w:semiHidden/>
    <w:unhideWhenUsed/>
    <w:rsid w:val="00C92149"/>
    <w:pPr>
      <w:tabs>
        <w:tab w:val="center" w:pos="4680"/>
        <w:tab w:val="right" w:pos="9360"/>
      </w:tabs>
    </w:pPr>
  </w:style>
  <w:style w:type="character" w:customStyle="1" w:styleId="HeaderChar">
    <w:name w:val="Header Char"/>
    <w:basedOn w:val="DefaultParagraphFont"/>
    <w:link w:val="Header"/>
    <w:uiPriority w:val="99"/>
    <w:semiHidden/>
    <w:rsid w:val="00C921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92149"/>
    <w:pPr>
      <w:tabs>
        <w:tab w:val="center" w:pos="4680"/>
        <w:tab w:val="right" w:pos="9360"/>
      </w:tabs>
    </w:pPr>
  </w:style>
  <w:style w:type="character" w:customStyle="1" w:styleId="FooterChar">
    <w:name w:val="Footer Char"/>
    <w:basedOn w:val="DefaultParagraphFont"/>
    <w:link w:val="Footer"/>
    <w:uiPriority w:val="99"/>
    <w:rsid w:val="00C9214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1676</Words>
  <Characters>9555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11209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 to Judge Dlamini</dc:creator>
  <cp:lastModifiedBy>swazilii</cp:lastModifiedBy>
  <cp:revision>2</cp:revision>
  <cp:lastPrinted>2014-03-06T11:32:00Z</cp:lastPrinted>
  <dcterms:created xsi:type="dcterms:W3CDTF">2014-03-14T08:31:00Z</dcterms:created>
  <dcterms:modified xsi:type="dcterms:W3CDTF">2014-03-14T08:31:00Z</dcterms:modified>
</cp:coreProperties>
</file>