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1D" w:rsidRDefault="0098541D" w:rsidP="0098541D">
      <w:pPr>
        <w:jc w:val="center"/>
      </w:pPr>
      <w:bookmarkStart w:id="0" w:name="_GoBack"/>
      <w:bookmarkEnd w:id="0"/>
      <w:r>
        <w:rPr>
          <w:noProof/>
          <w:lang w:val="en-ZA" w:eastAsia="en-ZA"/>
        </w:rPr>
        <w:drawing>
          <wp:inline distT="0" distB="0" distL="0" distR="0">
            <wp:extent cx="1510665" cy="938530"/>
            <wp:effectExtent l="19050" t="0" r="0" b="0"/>
            <wp:docPr id="4"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510665" cy="938530"/>
                    </a:xfrm>
                    <a:prstGeom prst="rect">
                      <a:avLst/>
                    </a:prstGeom>
                    <a:noFill/>
                    <a:ln w="9525">
                      <a:noFill/>
                      <a:miter lim="800000"/>
                      <a:headEnd/>
                      <a:tailEnd/>
                    </a:ln>
                  </pic:spPr>
                </pic:pic>
              </a:graphicData>
            </a:graphic>
          </wp:inline>
        </w:drawing>
      </w:r>
    </w:p>
    <w:p w:rsidR="0098541D" w:rsidRDefault="0098541D" w:rsidP="0098541D"/>
    <w:p w:rsidR="003C688A" w:rsidRDefault="003C688A" w:rsidP="0098541D"/>
    <w:p w:rsidR="0098541D" w:rsidRDefault="0098541D" w:rsidP="0098541D">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98541D" w:rsidRPr="00D76BB8" w:rsidRDefault="0098541D" w:rsidP="0098541D">
      <w:pPr>
        <w:rPr>
          <w:b/>
          <w:sz w:val="32"/>
          <w:szCs w:val="32"/>
          <w:u w:val="single"/>
        </w:rPr>
      </w:pPr>
    </w:p>
    <w:p w:rsidR="0098541D" w:rsidRDefault="0098541D" w:rsidP="0098541D">
      <w:pPr>
        <w:jc w:val="center"/>
        <w:rPr>
          <w:b/>
          <w:sz w:val="32"/>
          <w:szCs w:val="32"/>
        </w:rPr>
      </w:pPr>
      <w:r>
        <w:rPr>
          <w:b/>
          <w:sz w:val="32"/>
          <w:szCs w:val="32"/>
        </w:rPr>
        <w:t>JUDGMENT</w:t>
      </w:r>
    </w:p>
    <w:p w:rsidR="003C688A" w:rsidRPr="00BD0146" w:rsidRDefault="003C688A" w:rsidP="0098541D">
      <w:pPr>
        <w:jc w:val="center"/>
        <w:rPr>
          <w:b/>
          <w:sz w:val="32"/>
          <w:szCs w:val="32"/>
        </w:rPr>
      </w:pPr>
    </w:p>
    <w:p w:rsidR="0098541D" w:rsidRDefault="0098541D" w:rsidP="0098541D">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292/2014</w:t>
      </w:r>
    </w:p>
    <w:p w:rsidR="0098541D" w:rsidRDefault="0098541D" w:rsidP="0098541D">
      <w:pPr>
        <w:jc w:val="both"/>
        <w:rPr>
          <w:sz w:val="26"/>
          <w:szCs w:val="26"/>
        </w:rPr>
      </w:pPr>
      <w:r>
        <w:rPr>
          <w:sz w:val="26"/>
          <w:szCs w:val="26"/>
        </w:rPr>
        <w:t xml:space="preserve">In the matter between </w:t>
      </w:r>
    </w:p>
    <w:p w:rsidR="0098541D" w:rsidRDefault="0098541D" w:rsidP="0098541D">
      <w:pPr>
        <w:jc w:val="both"/>
        <w:rPr>
          <w:sz w:val="26"/>
          <w:szCs w:val="26"/>
        </w:rPr>
      </w:pPr>
    </w:p>
    <w:p w:rsidR="0098541D" w:rsidRDefault="0098541D" w:rsidP="0098541D">
      <w:pPr>
        <w:jc w:val="both"/>
        <w:rPr>
          <w:b/>
          <w:sz w:val="26"/>
          <w:szCs w:val="26"/>
        </w:rPr>
      </w:pPr>
    </w:p>
    <w:p w:rsidR="0098541D" w:rsidRDefault="0098541D" w:rsidP="0098541D">
      <w:pPr>
        <w:jc w:val="both"/>
        <w:rPr>
          <w:b/>
          <w:sz w:val="26"/>
          <w:szCs w:val="26"/>
        </w:rPr>
      </w:pPr>
      <w:r>
        <w:rPr>
          <w:b/>
          <w:sz w:val="26"/>
          <w:szCs w:val="26"/>
        </w:rPr>
        <w:t>SWAZI TRAC (PTY) LTD</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Plaintiff  </w:t>
      </w:r>
    </w:p>
    <w:p w:rsidR="0098541D" w:rsidRDefault="0098541D" w:rsidP="00F761C4">
      <w:pPr>
        <w:spacing w:line="360" w:lineRule="auto"/>
        <w:jc w:val="both"/>
        <w:rPr>
          <w:b/>
          <w:sz w:val="26"/>
          <w:szCs w:val="26"/>
        </w:rPr>
      </w:pPr>
    </w:p>
    <w:p w:rsidR="0098541D" w:rsidRDefault="0098541D" w:rsidP="0098541D">
      <w:pPr>
        <w:jc w:val="both"/>
        <w:rPr>
          <w:b/>
          <w:sz w:val="26"/>
          <w:szCs w:val="26"/>
        </w:rPr>
      </w:pPr>
      <w:r w:rsidRPr="00415520">
        <w:rPr>
          <w:b/>
          <w:sz w:val="26"/>
          <w:szCs w:val="26"/>
        </w:rPr>
        <w:t>And</w:t>
      </w:r>
    </w:p>
    <w:p w:rsidR="0098541D" w:rsidRPr="00415520" w:rsidRDefault="0098541D" w:rsidP="00F761C4">
      <w:pPr>
        <w:spacing w:line="360" w:lineRule="auto"/>
        <w:jc w:val="both"/>
        <w:rPr>
          <w:b/>
          <w:sz w:val="26"/>
          <w:szCs w:val="26"/>
        </w:rPr>
      </w:pPr>
    </w:p>
    <w:p w:rsidR="0098541D" w:rsidRDefault="0098541D" w:rsidP="0098541D">
      <w:pPr>
        <w:jc w:val="both"/>
        <w:rPr>
          <w:b/>
          <w:sz w:val="26"/>
          <w:szCs w:val="26"/>
        </w:rPr>
      </w:pPr>
      <w:r>
        <w:rPr>
          <w:b/>
          <w:sz w:val="26"/>
          <w:szCs w:val="26"/>
        </w:rPr>
        <w:t>BONGINKHOSI MAGAGULA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Defendant </w:t>
      </w:r>
    </w:p>
    <w:p w:rsidR="0098541D" w:rsidRDefault="0098541D" w:rsidP="0098541D">
      <w:pPr>
        <w:jc w:val="both"/>
        <w:rPr>
          <w:b/>
          <w:sz w:val="26"/>
          <w:szCs w:val="26"/>
        </w:rPr>
      </w:pPr>
    </w:p>
    <w:p w:rsidR="0098541D" w:rsidRDefault="0098541D" w:rsidP="0098541D">
      <w:pPr>
        <w:jc w:val="both"/>
        <w:rPr>
          <w:sz w:val="26"/>
          <w:szCs w:val="26"/>
        </w:rPr>
      </w:pPr>
    </w:p>
    <w:p w:rsidR="0098541D" w:rsidRPr="007965F3" w:rsidRDefault="0098541D" w:rsidP="0098541D">
      <w:pPr>
        <w:spacing w:line="360" w:lineRule="auto"/>
        <w:ind w:left="2880" w:hanging="2880"/>
        <w:jc w:val="both"/>
        <w:rPr>
          <w:b/>
          <w:i/>
          <w:sz w:val="26"/>
          <w:szCs w:val="26"/>
        </w:rPr>
      </w:pPr>
      <w:r w:rsidRPr="00415520">
        <w:rPr>
          <w:b/>
          <w:sz w:val="26"/>
          <w:szCs w:val="26"/>
        </w:rPr>
        <w:t>Neutral Citation</w:t>
      </w:r>
      <w:r>
        <w:rPr>
          <w:b/>
          <w:sz w:val="26"/>
          <w:szCs w:val="26"/>
        </w:rPr>
        <w:t>:</w:t>
      </w:r>
      <w:r>
        <w:rPr>
          <w:sz w:val="26"/>
          <w:szCs w:val="26"/>
        </w:rPr>
        <w:tab/>
      </w:r>
      <w:r>
        <w:rPr>
          <w:b/>
          <w:i/>
          <w:sz w:val="26"/>
          <w:szCs w:val="26"/>
        </w:rPr>
        <w:t xml:space="preserve">Swazi </w:t>
      </w:r>
      <w:proofErr w:type="spellStart"/>
      <w:r>
        <w:rPr>
          <w:b/>
          <w:i/>
          <w:sz w:val="26"/>
          <w:szCs w:val="26"/>
        </w:rPr>
        <w:t>Trac</w:t>
      </w:r>
      <w:proofErr w:type="spellEnd"/>
      <w:r>
        <w:rPr>
          <w:b/>
          <w:i/>
          <w:sz w:val="26"/>
          <w:szCs w:val="26"/>
        </w:rPr>
        <w:t xml:space="preserve"> (Pty) Ltd</w:t>
      </w:r>
      <w:r>
        <w:rPr>
          <w:sz w:val="26"/>
          <w:szCs w:val="26"/>
        </w:rPr>
        <w:t xml:space="preserve"> v </w:t>
      </w:r>
      <w:proofErr w:type="spellStart"/>
      <w:r>
        <w:rPr>
          <w:b/>
          <w:i/>
          <w:sz w:val="26"/>
          <w:szCs w:val="26"/>
        </w:rPr>
        <w:t>Bonginkhosi</w:t>
      </w:r>
      <w:proofErr w:type="spellEnd"/>
      <w:r w:rsidR="00E963CF">
        <w:rPr>
          <w:b/>
          <w:i/>
          <w:sz w:val="26"/>
          <w:szCs w:val="26"/>
        </w:rPr>
        <w:t xml:space="preserve"> </w:t>
      </w:r>
      <w:r>
        <w:rPr>
          <w:b/>
          <w:i/>
          <w:sz w:val="26"/>
          <w:szCs w:val="26"/>
        </w:rPr>
        <w:t>Magagula</w:t>
      </w:r>
      <w:r w:rsidR="00E963CF">
        <w:rPr>
          <w:b/>
          <w:i/>
          <w:sz w:val="26"/>
          <w:szCs w:val="26"/>
        </w:rPr>
        <w:t xml:space="preserve"> </w:t>
      </w:r>
      <w:r w:rsidRPr="007965F3">
        <w:rPr>
          <w:b/>
          <w:i/>
          <w:sz w:val="26"/>
          <w:szCs w:val="26"/>
        </w:rPr>
        <w:t>(</w:t>
      </w:r>
      <w:r>
        <w:rPr>
          <w:b/>
          <w:i/>
          <w:sz w:val="26"/>
          <w:szCs w:val="26"/>
        </w:rPr>
        <w:t>292</w:t>
      </w:r>
      <w:r w:rsidRPr="007965F3">
        <w:rPr>
          <w:b/>
          <w:i/>
          <w:sz w:val="26"/>
          <w:szCs w:val="26"/>
        </w:rPr>
        <w:t>/20</w:t>
      </w:r>
      <w:r>
        <w:rPr>
          <w:b/>
          <w:i/>
          <w:sz w:val="26"/>
          <w:szCs w:val="26"/>
        </w:rPr>
        <w:t>14</w:t>
      </w:r>
      <w:r w:rsidRPr="007965F3">
        <w:rPr>
          <w:b/>
          <w:i/>
          <w:sz w:val="26"/>
          <w:szCs w:val="26"/>
        </w:rPr>
        <w:t>) [201</w:t>
      </w:r>
      <w:r>
        <w:rPr>
          <w:b/>
          <w:i/>
          <w:sz w:val="26"/>
          <w:szCs w:val="26"/>
        </w:rPr>
        <w:t>5</w:t>
      </w:r>
      <w:r w:rsidRPr="007965F3">
        <w:rPr>
          <w:b/>
          <w:i/>
          <w:sz w:val="26"/>
          <w:szCs w:val="26"/>
        </w:rPr>
        <w:t>] SZSC</w:t>
      </w:r>
      <w:r w:rsidR="003115B1">
        <w:rPr>
          <w:b/>
          <w:i/>
          <w:sz w:val="26"/>
          <w:szCs w:val="26"/>
        </w:rPr>
        <w:t xml:space="preserve"> 11</w:t>
      </w:r>
      <w:r>
        <w:rPr>
          <w:b/>
          <w:i/>
          <w:sz w:val="26"/>
          <w:szCs w:val="26"/>
        </w:rPr>
        <w:t xml:space="preserve"> (</w:t>
      </w:r>
      <w:r w:rsidR="00E963CF">
        <w:rPr>
          <w:b/>
          <w:i/>
          <w:sz w:val="26"/>
          <w:szCs w:val="26"/>
        </w:rPr>
        <w:t>4</w:t>
      </w:r>
      <w:r w:rsidR="00E963CF" w:rsidRPr="00E963CF">
        <w:rPr>
          <w:b/>
          <w:i/>
          <w:sz w:val="26"/>
          <w:szCs w:val="26"/>
          <w:vertAlign w:val="superscript"/>
        </w:rPr>
        <w:t>th</w:t>
      </w:r>
      <w:r>
        <w:rPr>
          <w:b/>
          <w:i/>
          <w:sz w:val="26"/>
          <w:szCs w:val="26"/>
        </w:rPr>
        <w:t xml:space="preserve">February </w:t>
      </w:r>
      <w:r w:rsidRPr="007965F3">
        <w:rPr>
          <w:b/>
          <w:i/>
          <w:sz w:val="26"/>
          <w:szCs w:val="26"/>
        </w:rPr>
        <w:t>201</w:t>
      </w:r>
      <w:r>
        <w:rPr>
          <w:b/>
          <w:i/>
          <w:sz w:val="26"/>
          <w:szCs w:val="26"/>
        </w:rPr>
        <w:t>5</w:t>
      </w:r>
      <w:r w:rsidRPr="007965F3">
        <w:rPr>
          <w:b/>
          <w:i/>
          <w:sz w:val="26"/>
          <w:szCs w:val="26"/>
        </w:rPr>
        <w:t>)</w:t>
      </w:r>
    </w:p>
    <w:p w:rsidR="0098541D" w:rsidRPr="007965F3" w:rsidRDefault="0098541D" w:rsidP="0098541D">
      <w:pPr>
        <w:spacing w:line="360" w:lineRule="auto"/>
        <w:jc w:val="both"/>
        <w:rPr>
          <w:b/>
          <w:sz w:val="26"/>
          <w:szCs w:val="26"/>
        </w:rPr>
      </w:pPr>
    </w:p>
    <w:p w:rsidR="0098541D" w:rsidRPr="007965F3" w:rsidRDefault="0098541D" w:rsidP="0098541D">
      <w:pPr>
        <w:spacing w:line="360" w:lineRule="auto"/>
        <w:jc w:val="both"/>
        <w:rPr>
          <w:b/>
          <w:sz w:val="26"/>
          <w:szCs w:val="26"/>
        </w:rPr>
      </w:pPr>
      <w:r w:rsidRPr="007965F3">
        <w:rPr>
          <w:b/>
          <w:sz w:val="26"/>
          <w:szCs w:val="26"/>
        </w:rPr>
        <w:t>Coram:</w:t>
      </w:r>
      <w:r w:rsidRPr="007965F3">
        <w:rPr>
          <w:b/>
          <w:sz w:val="26"/>
          <w:szCs w:val="26"/>
        </w:rPr>
        <w:tab/>
      </w:r>
      <w:r w:rsidRPr="007965F3">
        <w:rPr>
          <w:b/>
          <w:sz w:val="26"/>
          <w:szCs w:val="26"/>
        </w:rPr>
        <w:tab/>
      </w:r>
      <w:r w:rsidRPr="007965F3">
        <w:rPr>
          <w:b/>
          <w:sz w:val="26"/>
          <w:szCs w:val="26"/>
        </w:rPr>
        <w:tab/>
        <w:t>Dlamini J</w:t>
      </w:r>
    </w:p>
    <w:p w:rsidR="0098541D" w:rsidRPr="007965F3" w:rsidRDefault="0098541D" w:rsidP="0098541D">
      <w:pPr>
        <w:spacing w:line="360" w:lineRule="auto"/>
        <w:jc w:val="both"/>
        <w:rPr>
          <w:b/>
          <w:sz w:val="26"/>
          <w:szCs w:val="26"/>
        </w:rPr>
      </w:pPr>
    </w:p>
    <w:p w:rsidR="0098541D" w:rsidRPr="007965F3" w:rsidRDefault="0098541D" w:rsidP="0098541D">
      <w:pPr>
        <w:spacing w:line="360" w:lineRule="auto"/>
        <w:jc w:val="both"/>
        <w:rPr>
          <w:b/>
          <w:sz w:val="26"/>
          <w:szCs w:val="26"/>
        </w:rPr>
      </w:pPr>
      <w:r w:rsidRPr="007965F3">
        <w:rPr>
          <w:b/>
          <w:sz w:val="26"/>
          <w:szCs w:val="26"/>
        </w:rPr>
        <w:t>Heard:</w:t>
      </w:r>
      <w:r w:rsidRPr="007965F3">
        <w:rPr>
          <w:b/>
          <w:sz w:val="26"/>
          <w:szCs w:val="26"/>
        </w:rPr>
        <w:tab/>
      </w:r>
      <w:r w:rsidRPr="007965F3">
        <w:rPr>
          <w:b/>
          <w:sz w:val="26"/>
          <w:szCs w:val="26"/>
        </w:rPr>
        <w:tab/>
      </w:r>
      <w:r w:rsidRPr="007965F3">
        <w:rPr>
          <w:b/>
          <w:sz w:val="26"/>
          <w:szCs w:val="26"/>
        </w:rPr>
        <w:tab/>
      </w:r>
      <w:r>
        <w:rPr>
          <w:b/>
          <w:sz w:val="26"/>
          <w:szCs w:val="26"/>
        </w:rPr>
        <w:t>11</w:t>
      </w:r>
      <w:r w:rsidRPr="00AE318C">
        <w:rPr>
          <w:b/>
          <w:sz w:val="26"/>
          <w:szCs w:val="26"/>
          <w:vertAlign w:val="superscript"/>
        </w:rPr>
        <w:t>th</w:t>
      </w:r>
      <w:r>
        <w:rPr>
          <w:b/>
          <w:sz w:val="26"/>
          <w:szCs w:val="26"/>
        </w:rPr>
        <w:t xml:space="preserve"> December </w:t>
      </w:r>
      <w:r w:rsidRPr="007965F3">
        <w:rPr>
          <w:b/>
          <w:sz w:val="26"/>
          <w:szCs w:val="26"/>
        </w:rPr>
        <w:t>201</w:t>
      </w:r>
      <w:r>
        <w:rPr>
          <w:b/>
          <w:sz w:val="26"/>
          <w:szCs w:val="26"/>
        </w:rPr>
        <w:t>4</w:t>
      </w:r>
    </w:p>
    <w:p w:rsidR="0098541D" w:rsidRPr="007965F3" w:rsidRDefault="0098541D" w:rsidP="0098541D">
      <w:pPr>
        <w:spacing w:line="360" w:lineRule="auto"/>
        <w:jc w:val="both"/>
        <w:rPr>
          <w:b/>
          <w:sz w:val="26"/>
          <w:szCs w:val="26"/>
        </w:rPr>
      </w:pPr>
    </w:p>
    <w:p w:rsidR="0098541D" w:rsidRPr="007965F3" w:rsidRDefault="0098541D" w:rsidP="0098541D">
      <w:pPr>
        <w:jc w:val="both"/>
        <w:rPr>
          <w:b/>
          <w:sz w:val="26"/>
          <w:szCs w:val="26"/>
        </w:rPr>
      </w:pPr>
      <w:r w:rsidRPr="007965F3">
        <w:rPr>
          <w:b/>
          <w:sz w:val="26"/>
          <w:szCs w:val="26"/>
        </w:rPr>
        <w:t>Delivered:</w:t>
      </w:r>
      <w:r w:rsidRPr="007965F3">
        <w:rPr>
          <w:b/>
          <w:sz w:val="26"/>
          <w:szCs w:val="26"/>
        </w:rPr>
        <w:tab/>
      </w:r>
      <w:r w:rsidRPr="007965F3">
        <w:rPr>
          <w:b/>
          <w:sz w:val="26"/>
          <w:szCs w:val="26"/>
        </w:rPr>
        <w:tab/>
      </w:r>
      <w:r w:rsidRPr="007965F3">
        <w:rPr>
          <w:b/>
          <w:sz w:val="26"/>
          <w:szCs w:val="26"/>
        </w:rPr>
        <w:tab/>
      </w:r>
      <w:r>
        <w:rPr>
          <w:b/>
          <w:sz w:val="26"/>
          <w:szCs w:val="26"/>
        </w:rPr>
        <w:t xml:space="preserve"> </w:t>
      </w:r>
      <w:r w:rsidR="00E963CF">
        <w:rPr>
          <w:b/>
          <w:sz w:val="26"/>
          <w:szCs w:val="26"/>
        </w:rPr>
        <w:t>4</w:t>
      </w:r>
      <w:r w:rsidR="00E963CF" w:rsidRPr="00E963CF">
        <w:rPr>
          <w:b/>
          <w:sz w:val="26"/>
          <w:szCs w:val="26"/>
          <w:vertAlign w:val="superscript"/>
        </w:rPr>
        <w:t>th</w:t>
      </w:r>
      <w:r w:rsidR="00E963CF">
        <w:rPr>
          <w:b/>
          <w:sz w:val="26"/>
          <w:szCs w:val="26"/>
        </w:rPr>
        <w:t xml:space="preserve"> </w:t>
      </w:r>
      <w:r>
        <w:rPr>
          <w:b/>
          <w:i/>
          <w:sz w:val="26"/>
          <w:szCs w:val="26"/>
        </w:rPr>
        <w:t>February</w:t>
      </w:r>
      <w:r w:rsidRPr="007965F3">
        <w:rPr>
          <w:b/>
          <w:sz w:val="26"/>
          <w:szCs w:val="26"/>
        </w:rPr>
        <w:t xml:space="preserve"> 201</w:t>
      </w:r>
      <w:r>
        <w:rPr>
          <w:b/>
          <w:sz w:val="26"/>
          <w:szCs w:val="26"/>
        </w:rPr>
        <w:t>5</w:t>
      </w:r>
    </w:p>
    <w:p w:rsidR="0098541D" w:rsidRPr="007965F3" w:rsidRDefault="0098541D" w:rsidP="0098541D">
      <w:pPr>
        <w:jc w:val="both"/>
        <w:rPr>
          <w:b/>
          <w:sz w:val="26"/>
          <w:szCs w:val="26"/>
        </w:rPr>
      </w:pPr>
    </w:p>
    <w:p w:rsidR="0098541D" w:rsidRDefault="0098541D" w:rsidP="0098541D">
      <w:pPr>
        <w:jc w:val="both"/>
        <w:rPr>
          <w:sz w:val="26"/>
          <w:szCs w:val="26"/>
        </w:rPr>
      </w:pPr>
    </w:p>
    <w:p w:rsidR="0098541D" w:rsidRPr="00810304" w:rsidRDefault="00D26972" w:rsidP="00E963CF">
      <w:pPr>
        <w:ind w:left="2160"/>
        <w:jc w:val="both"/>
        <w:rPr>
          <w:i/>
          <w:sz w:val="26"/>
          <w:szCs w:val="26"/>
        </w:rPr>
      </w:pPr>
      <w:r w:rsidRPr="00810304">
        <w:rPr>
          <w:i/>
          <w:sz w:val="26"/>
          <w:szCs w:val="26"/>
        </w:rPr>
        <w:t xml:space="preserve">Rule 30 </w:t>
      </w:r>
      <w:r w:rsidR="006C4B9E" w:rsidRPr="00810304">
        <w:rPr>
          <w:i/>
          <w:sz w:val="26"/>
          <w:szCs w:val="26"/>
        </w:rPr>
        <w:t>N</w:t>
      </w:r>
      <w:r w:rsidRPr="00810304">
        <w:rPr>
          <w:i/>
          <w:sz w:val="26"/>
          <w:szCs w:val="26"/>
        </w:rPr>
        <w:t xml:space="preserve">otice </w:t>
      </w:r>
      <w:r w:rsidR="006C4B9E" w:rsidRPr="00810304">
        <w:rPr>
          <w:i/>
          <w:sz w:val="26"/>
          <w:szCs w:val="26"/>
        </w:rPr>
        <w:t xml:space="preserve">–defendant alleging that Notice by plaintiff entitled </w:t>
      </w:r>
      <w:proofErr w:type="gramStart"/>
      <w:r w:rsidR="006C4B9E" w:rsidRPr="00810304">
        <w:rPr>
          <w:i/>
          <w:sz w:val="26"/>
          <w:szCs w:val="26"/>
        </w:rPr>
        <w:t>“ Notice</w:t>
      </w:r>
      <w:proofErr w:type="gramEnd"/>
      <w:r w:rsidR="006C4B9E" w:rsidRPr="00810304">
        <w:rPr>
          <w:i/>
          <w:sz w:val="26"/>
          <w:szCs w:val="26"/>
        </w:rPr>
        <w:t xml:space="preserve"> to give defendant leave to file a plea” irregular by reason that it is not provided for by the Rules. Court to be guided by whether it can reasonably be inferred that defendant was likely to suffer prejudice by plaintiff’s Notice.</w:t>
      </w:r>
    </w:p>
    <w:p w:rsidR="00545E30" w:rsidRDefault="0098541D" w:rsidP="0098541D">
      <w:pPr>
        <w:spacing w:line="360" w:lineRule="auto"/>
        <w:ind w:left="1440" w:hanging="1440"/>
        <w:jc w:val="both"/>
        <w:rPr>
          <w:sz w:val="26"/>
          <w:szCs w:val="26"/>
        </w:rPr>
      </w:pPr>
      <w:r>
        <w:rPr>
          <w:sz w:val="26"/>
          <w:szCs w:val="26"/>
        </w:rPr>
        <w:lastRenderedPageBreak/>
        <w:t>Summary:</w:t>
      </w:r>
      <w:r>
        <w:rPr>
          <w:sz w:val="26"/>
          <w:szCs w:val="26"/>
        </w:rPr>
        <w:tab/>
      </w:r>
      <w:r w:rsidR="003C688A">
        <w:rPr>
          <w:sz w:val="26"/>
          <w:szCs w:val="26"/>
        </w:rPr>
        <w:t xml:space="preserve">Having abandoned its summary judgment application, the </w:t>
      </w:r>
      <w:r w:rsidR="00A776D1">
        <w:rPr>
          <w:sz w:val="26"/>
          <w:szCs w:val="26"/>
        </w:rPr>
        <w:t>plai</w:t>
      </w:r>
      <w:r w:rsidR="003C688A">
        <w:rPr>
          <w:sz w:val="26"/>
          <w:szCs w:val="26"/>
        </w:rPr>
        <w:t>nt</w:t>
      </w:r>
      <w:r w:rsidR="00A776D1">
        <w:rPr>
          <w:sz w:val="26"/>
          <w:szCs w:val="26"/>
        </w:rPr>
        <w:t>iff</w:t>
      </w:r>
      <w:r w:rsidR="003C688A">
        <w:rPr>
          <w:sz w:val="26"/>
          <w:szCs w:val="26"/>
        </w:rPr>
        <w:t xml:space="preserve"> served upon the defendant “</w:t>
      </w:r>
      <w:r w:rsidR="003C688A" w:rsidRPr="003C688A">
        <w:rPr>
          <w:i/>
          <w:sz w:val="26"/>
          <w:szCs w:val="26"/>
        </w:rPr>
        <w:t>Notice to give defendant leave to file a plea</w:t>
      </w:r>
      <w:r w:rsidR="003C688A">
        <w:rPr>
          <w:sz w:val="26"/>
          <w:szCs w:val="26"/>
        </w:rPr>
        <w:t>”.  In turn defendant filed a notice in terms of Rule 30 and now seeks for costs for filing th</w:t>
      </w:r>
      <w:r w:rsidR="00A776D1">
        <w:rPr>
          <w:sz w:val="26"/>
          <w:szCs w:val="26"/>
        </w:rPr>
        <w:t>is</w:t>
      </w:r>
      <w:r w:rsidR="003C688A">
        <w:rPr>
          <w:sz w:val="26"/>
          <w:szCs w:val="26"/>
        </w:rPr>
        <w:t xml:space="preserve"> notice.</w:t>
      </w:r>
    </w:p>
    <w:p w:rsidR="003C688A" w:rsidRDefault="003C688A" w:rsidP="0098541D">
      <w:pPr>
        <w:spacing w:line="360" w:lineRule="auto"/>
        <w:ind w:left="1440" w:hanging="1440"/>
        <w:jc w:val="both"/>
        <w:rPr>
          <w:sz w:val="26"/>
          <w:szCs w:val="26"/>
        </w:rPr>
      </w:pPr>
    </w:p>
    <w:p w:rsidR="003C688A" w:rsidRDefault="003C688A" w:rsidP="0098541D">
      <w:pPr>
        <w:spacing w:line="360" w:lineRule="auto"/>
        <w:ind w:left="1440" w:hanging="1440"/>
        <w:jc w:val="both"/>
        <w:rPr>
          <w:sz w:val="26"/>
          <w:szCs w:val="26"/>
        </w:rPr>
      </w:pPr>
      <w:r>
        <w:rPr>
          <w:sz w:val="26"/>
          <w:szCs w:val="26"/>
        </w:rPr>
        <w:t>[1]</w:t>
      </w:r>
      <w:r>
        <w:rPr>
          <w:sz w:val="26"/>
          <w:szCs w:val="26"/>
        </w:rPr>
        <w:tab/>
        <w:t xml:space="preserve">The plaintiff </w:t>
      </w:r>
      <w:r w:rsidRPr="0053582B">
        <w:rPr>
          <w:sz w:val="26"/>
          <w:szCs w:val="26"/>
        </w:rPr>
        <w:t xml:space="preserve">sued </w:t>
      </w:r>
      <w:r>
        <w:rPr>
          <w:sz w:val="26"/>
          <w:szCs w:val="26"/>
        </w:rPr>
        <w:t>out simple summons, followed by a declaration on 24</w:t>
      </w:r>
      <w:r w:rsidRPr="003C688A">
        <w:rPr>
          <w:sz w:val="26"/>
          <w:szCs w:val="26"/>
          <w:vertAlign w:val="superscript"/>
        </w:rPr>
        <w:t>th</w:t>
      </w:r>
      <w:r>
        <w:rPr>
          <w:sz w:val="26"/>
          <w:szCs w:val="26"/>
        </w:rPr>
        <w:t xml:space="preserve"> February 2014 and 2</w:t>
      </w:r>
      <w:r w:rsidRPr="003C688A">
        <w:rPr>
          <w:sz w:val="26"/>
          <w:szCs w:val="26"/>
          <w:vertAlign w:val="superscript"/>
        </w:rPr>
        <w:t>nd</w:t>
      </w:r>
      <w:r>
        <w:rPr>
          <w:sz w:val="26"/>
          <w:szCs w:val="26"/>
        </w:rPr>
        <w:t xml:space="preserve"> March 2014 respectively.  Defendant reacted by filing a notice of intention to defend. Plaintiff filed a summary judgment application.  Defendant opposed the same by filing an affidavit resisting summary judgment application.  On the date of hearing, viz. 27</w:t>
      </w:r>
      <w:r w:rsidRPr="003C688A">
        <w:rPr>
          <w:sz w:val="26"/>
          <w:szCs w:val="26"/>
          <w:vertAlign w:val="superscript"/>
        </w:rPr>
        <w:t>th</w:t>
      </w:r>
      <w:r>
        <w:rPr>
          <w:sz w:val="26"/>
          <w:szCs w:val="26"/>
        </w:rPr>
        <w:t xml:space="preserve"> June 2014, </w:t>
      </w:r>
      <w:r w:rsidR="00A776D1">
        <w:rPr>
          <w:sz w:val="26"/>
          <w:szCs w:val="26"/>
        </w:rPr>
        <w:t>plain</w:t>
      </w:r>
      <w:r>
        <w:rPr>
          <w:sz w:val="26"/>
          <w:szCs w:val="26"/>
        </w:rPr>
        <w:t>t</w:t>
      </w:r>
      <w:r w:rsidR="00A776D1">
        <w:rPr>
          <w:sz w:val="26"/>
          <w:szCs w:val="26"/>
        </w:rPr>
        <w:t>iff</w:t>
      </w:r>
      <w:r>
        <w:rPr>
          <w:sz w:val="26"/>
          <w:szCs w:val="26"/>
        </w:rPr>
        <w:t xml:space="preserve"> applied</w:t>
      </w:r>
      <w:r w:rsidR="00E20A2B">
        <w:rPr>
          <w:sz w:val="26"/>
          <w:szCs w:val="26"/>
        </w:rPr>
        <w:t xml:space="preserve"> for leave to file a reply and duly filed the same on the same date.</w:t>
      </w:r>
      <w:r w:rsidR="00FA772D">
        <w:rPr>
          <w:sz w:val="26"/>
          <w:szCs w:val="26"/>
        </w:rPr>
        <w:t xml:space="preserve">  However, before the matter could be set down for arguments</w:t>
      </w:r>
      <w:r w:rsidR="0053582B">
        <w:rPr>
          <w:sz w:val="26"/>
          <w:szCs w:val="26"/>
        </w:rPr>
        <w:t>,</w:t>
      </w:r>
      <w:r w:rsidR="00FA772D">
        <w:rPr>
          <w:sz w:val="26"/>
          <w:szCs w:val="26"/>
        </w:rPr>
        <w:t xml:space="preserve"> pl</w:t>
      </w:r>
      <w:r w:rsidR="00E609CD">
        <w:rPr>
          <w:sz w:val="26"/>
          <w:szCs w:val="26"/>
        </w:rPr>
        <w:t>a</w:t>
      </w:r>
      <w:r w:rsidR="00FA772D">
        <w:rPr>
          <w:sz w:val="26"/>
          <w:szCs w:val="26"/>
        </w:rPr>
        <w:t>int</w:t>
      </w:r>
      <w:r w:rsidR="00E609CD">
        <w:rPr>
          <w:sz w:val="26"/>
          <w:szCs w:val="26"/>
        </w:rPr>
        <w:t>iff</w:t>
      </w:r>
      <w:r w:rsidR="00FA772D">
        <w:rPr>
          <w:sz w:val="26"/>
          <w:szCs w:val="26"/>
        </w:rPr>
        <w:t xml:space="preserve"> filed a notice entitled</w:t>
      </w:r>
      <w:r w:rsidR="00E609CD">
        <w:rPr>
          <w:sz w:val="26"/>
          <w:szCs w:val="26"/>
        </w:rPr>
        <w:t>: ‘</w:t>
      </w:r>
      <w:r w:rsidR="00E609CD" w:rsidRPr="00E609CD">
        <w:rPr>
          <w:i/>
          <w:sz w:val="26"/>
          <w:szCs w:val="26"/>
        </w:rPr>
        <w:t>Notice to give defendant leave to file a plea</w:t>
      </w:r>
      <w:r w:rsidR="00E609CD">
        <w:rPr>
          <w:sz w:val="26"/>
          <w:szCs w:val="26"/>
        </w:rPr>
        <w:t>’</w:t>
      </w:r>
      <w:r w:rsidR="0053582B">
        <w:rPr>
          <w:sz w:val="26"/>
          <w:szCs w:val="26"/>
        </w:rPr>
        <w:t>.</w:t>
      </w:r>
      <w:r w:rsidR="00125F32">
        <w:rPr>
          <w:sz w:val="26"/>
          <w:szCs w:val="26"/>
        </w:rPr>
        <w:t xml:space="preserve"> </w:t>
      </w:r>
      <w:r w:rsidR="00A776D1">
        <w:rPr>
          <w:sz w:val="26"/>
          <w:szCs w:val="26"/>
        </w:rPr>
        <w:t xml:space="preserve">Defendant </w:t>
      </w:r>
      <w:r w:rsidR="00E609CD">
        <w:rPr>
          <w:sz w:val="26"/>
          <w:szCs w:val="26"/>
        </w:rPr>
        <w:t xml:space="preserve">contends that this notice by plaintiff is not provided for in our civil procedural </w:t>
      </w:r>
      <w:r w:rsidR="0053582B">
        <w:rPr>
          <w:sz w:val="26"/>
          <w:szCs w:val="26"/>
        </w:rPr>
        <w:t>R</w:t>
      </w:r>
      <w:r w:rsidR="00E609CD">
        <w:rPr>
          <w:sz w:val="26"/>
          <w:szCs w:val="26"/>
        </w:rPr>
        <w:t xml:space="preserve">ules and therefore irregular.  For this reason, defendant filed a notice in terms of </w:t>
      </w:r>
      <w:r w:rsidR="0053582B">
        <w:rPr>
          <w:sz w:val="26"/>
          <w:szCs w:val="26"/>
        </w:rPr>
        <w:t>R</w:t>
      </w:r>
      <w:r w:rsidR="00E609CD">
        <w:rPr>
          <w:sz w:val="26"/>
          <w:szCs w:val="26"/>
        </w:rPr>
        <w:t>ule 30 and demands costs for having filed this notice.</w:t>
      </w:r>
    </w:p>
    <w:p w:rsidR="00E609CD" w:rsidRDefault="00E609CD" w:rsidP="0098541D">
      <w:pPr>
        <w:spacing w:line="360" w:lineRule="auto"/>
        <w:ind w:left="1440" w:hanging="1440"/>
        <w:jc w:val="both"/>
        <w:rPr>
          <w:sz w:val="26"/>
          <w:szCs w:val="26"/>
        </w:rPr>
      </w:pPr>
    </w:p>
    <w:p w:rsidR="00E609CD" w:rsidRPr="00E609CD" w:rsidRDefault="00E609CD" w:rsidP="0098541D">
      <w:pPr>
        <w:spacing w:line="360" w:lineRule="auto"/>
        <w:ind w:left="1440" w:hanging="1440"/>
        <w:jc w:val="both"/>
        <w:rPr>
          <w:sz w:val="26"/>
          <w:szCs w:val="26"/>
          <w:u w:val="single"/>
        </w:rPr>
      </w:pPr>
      <w:r>
        <w:rPr>
          <w:sz w:val="26"/>
          <w:szCs w:val="26"/>
        </w:rPr>
        <w:tab/>
      </w:r>
      <w:r w:rsidRPr="00E609CD">
        <w:rPr>
          <w:sz w:val="26"/>
          <w:szCs w:val="26"/>
          <w:u w:val="single"/>
        </w:rPr>
        <w:t>Common cause</w:t>
      </w:r>
    </w:p>
    <w:p w:rsidR="00E609CD" w:rsidRDefault="00E609CD" w:rsidP="0098541D">
      <w:pPr>
        <w:spacing w:line="360" w:lineRule="auto"/>
        <w:ind w:left="1440" w:hanging="1440"/>
        <w:jc w:val="both"/>
        <w:rPr>
          <w:sz w:val="26"/>
          <w:szCs w:val="26"/>
        </w:rPr>
      </w:pPr>
    </w:p>
    <w:p w:rsidR="00E609CD" w:rsidRDefault="00E609CD" w:rsidP="0098541D">
      <w:pPr>
        <w:spacing w:line="360" w:lineRule="auto"/>
        <w:ind w:left="1440" w:hanging="1440"/>
        <w:jc w:val="both"/>
        <w:rPr>
          <w:sz w:val="26"/>
          <w:szCs w:val="26"/>
        </w:rPr>
      </w:pPr>
      <w:r>
        <w:rPr>
          <w:sz w:val="26"/>
          <w:szCs w:val="26"/>
        </w:rPr>
        <w:t>[2]</w:t>
      </w:r>
      <w:r>
        <w:rPr>
          <w:sz w:val="26"/>
          <w:szCs w:val="26"/>
        </w:rPr>
        <w:tab/>
        <w:t xml:space="preserve">During </w:t>
      </w:r>
      <w:r w:rsidRPr="00A776D1">
        <w:rPr>
          <w:i/>
          <w:sz w:val="26"/>
          <w:szCs w:val="26"/>
        </w:rPr>
        <w:t>viva voce</w:t>
      </w:r>
      <w:r>
        <w:rPr>
          <w:sz w:val="26"/>
          <w:szCs w:val="26"/>
        </w:rPr>
        <w:t xml:space="preserve"> submissions, both parties were at </w:t>
      </w:r>
      <w:r w:rsidRPr="00E609CD">
        <w:rPr>
          <w:i/>
          <w:sz w:val="26"/>
          <w:szCs w:val="26"/>
        </w:rPr>
        <w:t>ad idem</w:t>
      </w:r>
      <w:r>
        <w:rPr>
          <w:sz w:val="26"/>
          <w:szCs w:val="26"/>
        </w:rPr>
        <w:t xml:space="preserve"> that plaintiff, having withdrawn its summary judgment application ought to have tendered costs as per Rule 41.  Plaintiff did tender costs.</w:t>
      </w:r>
    </w:p>
    <w:p w:rsidR="00810304" w:rsidRDefault="00810304" w:rsidP="00E963CF">
      <w:pPr>
        <w:spacing w:line="276" w:lineRule="auto"/>
        <w:ind w:left="1440" w:hanging="1440"/>
        <w:jc w:val="both"/>
        <w:rPr>
          <w:sz w:val="26"/>
          <w:szCs w:val="26"/>
        </w:rPr>
      </w:pPr>
    </w:p>
    <w:p w:rsidR="00751FCE" w:rsidRPr="00751FCE" w:rsidRDefault="00751FCE" w:rsidP="00E963CF">
      <w:pPr>
        <w:spacing w:line="276" w:lineRule="auto"/>
        <w:ind w:left="1440"/>
        <w:jc w:val="both"/>
        <w:rPr>
          <w:sz w:val="26"/>
          <w:szCs w:val="26"/>
          <w:u w:val="single"/>
        </w:rPr>
      </w:pPr>
      <w:r w:rsidRPr="00751FCE">
        <w:rPr>
          <w:sz w:val="26"/>
          <w:szCs w:val="26"/>
          <w:u w:val="single"/>
        </w:rPr>
        <w:t>Issue</w:t>
      </w:r>
    </w:p>
    <w:p w:rsidR="00545E30" w:rsidRDefault="00545E30" w:rsidP="00E963CF">
      <w:pPr>
        <w:spacing w:line="276" w:lineRule="auto"/>
        <w:ind w:left="1440" w:hanging="1440"/>
        <w:jc w:val="both"/>
        <w:rPr>
          <w:sz w:val="26"/>
          <w:szCs w:val="26"/>
        </w:rPr>
      </w:pPr>
    </w:p>
    <w:p w:rsidR="00751FCE" w:rsidRDefault="00751FCE" w:rsidP="0098541D">
      <w:pPr>
        <w:spacing w:line="360" w:lineRule="auto"/>
        <w:ind w:left="1440" w:hanging="1440"/>
        <w:jc w:val="both"/>
        <w:rPr>
          <w:sz w:val="26"/>
          <w:szCs w:val="26"/>
        </w:rPr>
      </w:pPr>
      <w:r>
        <w:rPr>
          <w:sz w:val="26"/>
          <w:szCs w:val="26"/>
        </w:rPr>
        <w:t>[3]</w:t>
      </w:r>
      <w:r>
        <w:rPr>
          <w:sz w:val="26"/>
          <w:szCs w:val="26"/>
        </w:rPr>
        <w:tab/>
        <w:t>The question to be determined was whether the process reading “</w:t>
      </w:r>
      <w:r w:rsidRPr="00A776D1">
        <w:rPr>
          <w:i/>
          <w:sz w:val="26"/>
          <w:szCs w:val="26"/>
        </w:rPr>
        <w:t>Notice to give defendant leave to file a plea</w:t>
      </w:r>
      <w:r>
        <w:rPr>
          <w:sz w:val="26"/>
          <w:szCs w:val="26"/>
        </w:rPr>
        <w:t xml:space="preserve">” (the notice) was for all intent and </w:t>
      </w:r>
      <w:r>
        <w:rPr>
          <w:sz w:val="26"/>
          <w:szCs w:val="26"/>
        </w:rPr>
        <w:lastRenderedPageBreak/>
        <w:t>purpose an irregular step taken by pl</w:t>
      </w:r>
      <w:r w:rsidR="00A776D1">
        <w:rPr>
          <w:sz w:val="26"/>
          <w:szCs w:val="26"/>
        </w:rPr>
        <w:t>a</w:t>
      </w:r>
      <w:r>
        <w:rPr>
          <w:sz w:val="26"/>
          <w:szCs w:val="26"/>
        </w:rPr>
        <w:t>int</w:t>
      </w:r>
      <w:r w:rsidR="00A776D1">
        <w:rPr>
          <w:sz w:val="26"/>
          <w:szCs w:val="26"/>
        </w:rPr>
        <w:t>iff</w:t>
      </w:r>
      <w:r>
        <w:rPr>
          <w:sz w:val="26"/>
          <w:szCs w:val="26"/>
        </w:rPr>
        <w:t xml:space="preserve"> warranting its dismissal with costs.</w:t>
      </w:r>
    </w:p>
    <w:p w:rsidR="00DF26D3" w:rsidRDefault="00DF26D3" w:rsidP="0098541D">
      <w:pPr>
        <w:spacing w:line="360" w:lineRule="auto"/>
        <w:ind w:left="1440" w:hanging="1440"/>
        <w:jc w:val="both"/>
        <w:rPr>
          <w:sz w:val="26"/>
          <w:szCs w:val="26"/>
        </w:rPr>
      </w:pPr>
    </w:p>
    <w:p w:rsidR="00751FCE" w:rsidRPr="00751FCE" w:rsidRDefault="00751FCE" w:rsidP="0098541D">
      <w:pPr>
        <w:spacing w:line="360" w:lineRule="auto"/>
        <w:ind w:left="1440" w:hanging="1440"/>
        <w:jc w:val="both"/>
        <w:rPr>
          <w:sz w:val="26"/>
          <w:szCs w:val="26"/>
          <w:u w:val="single"/>
        </w:rPr>
      </w:pPr>
      <w:r>
        <w:rPr>
          <w:sz w:val="26"/>
          <w:szCs w:val="26"/>
        </w:rPr>
        <w:tab/>
      </w:r>
      <w:r w:rsidRPr="00751FCE">
        <w:rPr>
          <w:sz w:val="26"/>
          <w:szCs w:val="26"/>
          <w:u w:val="single"/>
        </w:rPr>
        <w:t>Defendant’s contention</w:t>
      </w:r>
    </w:p>
    <w:p w:rsidR="00751FCE" w:rsidRDefault="00751FCE" w:rsidP="0098541D">
      <w:pPr>
        <w:spacing w:line="360" w:lineRule="auto"/>
        <w:ind w:left="1440" w:hanging="1440"/>
        <w:jc w:val="both"/>
        <w:rPr>
          <w:sz w:val="26"/>
          <w:szCs w:val="26"/>
        </w:rPr>
      </w:pPr>
    </w:p>
    <w:p w:rsidR="00751FCE" w:rsidRDefault="00751FCE" w:rsidP="0098541D">
      <w:pPr>
        <w:spacing w:line="360" w:lineRule="auto"/>
        <w:ind w:left="1440" w:hanging="1440"/>
        <w:jc w:val="both"/>
        <w:rPr>
          <w:sz w:val="26"/>
          <w:szCs w:val="26"/>
        </w:rPr>
      </w:pPr>
      <w:r>
        <w:rPr>
          <w:sz w:val="26"/>
          <w:szCs w:val="26"/>
        </w:rPr>
        <w:t>[4]</w:t>
      </w:r>
      <w:r>
        <w:rPr>
          <w:sz w:val="26"/>
          <w:szCs w:val="26"/>
        </w:rPr>
        <w:tab/>
        <w:t>The defendant, in support of its Rule 30 application</w:t>
      </w:r>
      <w:r w:rsidR="00125F32">
        <w:rPr>
          <w:sz w:val="26"/>
          <w:szCs w:val="26"/>
        </w:rPr>
        <w:t>,</w:t>
      </w:r>
      <w:r>
        <w:rPr>
          <w:sz w:val="26"/>
          <w:szCs w:val="26"/>
        </w:rPr>
        <w:t xml:space="preserve"> has raised two grounds upon which </w:t>
      </w:r>
      <w:r w:rsidR="00DF26D3">
        <w:rPr>
          <w:sz w:val="26"/>
          <w:szCs w:val="26"/>
        </w:rPr>
        <w:t xml:space="preserve"> it contends that the Notice </w:t>
      </w:r>
      <w:r>
        <w:rPr>
          <w:sz w:val="26"/>
          <w:szCs w:val="26"/>
        </w:rPr>
        <w:t xml:space="preserve">is irregular </w:t>
      </w:r>
      <w:r w:rsidRPr="00751FCE">
        <w:rPr>
          <w:i/>
          <w:sz w:val="26"/>
          <w:szCs w:val="26"/>
        </w:rPr>
        <w:t>viz</w:t>
      </w:r>
      <w:r>
        <w:rPr>
          <w:sz w:val="26"/>
          <w:szCs w:val="26"/>
        </w:rPr>
        <w:t xml:space="preserve">. firstly that it is not provided for by the Rules of this </w:t>
      </w:r>
      <w:proofErr w:type="spellStart"/>
      <w:r>
        <w:rPr>
          <w:sz w:val="26"/>
          <w:szCs w:val="26"/>
        </w:rPr>
        <w:t>Honourable</w:t>
      </w:r>
      <w:proofErr w:type="spellEnd"/>
      <w:r w:rsidR="00E963CF">
        <w:rPr>
          <w:sz w:val="26"/>
          <w:szCs w:val="26"/>
        </w:rPr>
        <w:t xml:space="preserve"> </w:t>
      </w:r>
      <w:r w:rsidR="00DF26D3">
        <w:rPr>
          <w:sz w:val="26"/>
          <w:szCs w:val="26"/>
        </w:rPr>
        <w:t>C</w:t>
      </w:r>
      <w:r>
        <w:rPr>
          <w:sz w:val="26"/>
          <w:szCs w:val="26"/>
        </w:rPr>
        <w:t xml:space="preserve">ourt and secondly that it is not for the plaintiff to grant leave to </w:t>
      </w:r>
      <w:r w:rsidR="00DF26D3">
        <w:rPr>
          <w:sz w:val="26"/>
          <w:szCs w:val="26"/>
        </w:rPr>
        <w:t>d</w:t>
      </w:r>
      <w:r>
        <w:rPr>
          <w:sz w:val="26"/>
          <w:szCs w:val="26"/>
        </w:rPr>
        <w:t>e</w:t>
      </w:r>
      <w:r w:rsidR="00DF26D3">
        <w:rPr>
          <w:sz w:val="26"/>
          <w:szCs w:val="26"/>
        </w:rPr>
        <w:t>fe</w:t>
      </w:r>
      <w:r>
        <w:rPr>
          <w:sz w:val="26"/>
          <w:szCs w:val="26"/>
        </w:rPr>
        <w:t>nd</w:t>
      </w:r>
      <w:r w:rsidR="00DF26D3">
        <w:rPr>
          <w:sz w:val="26"/>
          <w:szCs w:val="26"/>
        </w:rPr>
        <w:t>a</w:t>
      </w:r>
      <w:r>
        <w:rPr>
          <w:sz w:val="26"/>
          <w:szCs w:val="26"/>
        </w:rPr>
        <w:t>nt to file a plea.  The prerogative to grant leave lies solely with the court.</w:t>
      </w:r>
    </w:p>
    <w:p w:rsidR="00751FCE" w:rsidRDefault="00751FCE" w:rsidP="0098541D">
      <w:pPr>
        <w:spacing w:line="360" w:lineRule="auto"/>
        <w:ind w:left="1440" w:hanging="1440"/>
        <w:jc w:val="both"/>
        <w:rPr>
          <w:sz w:val="26"/>
          <w:szCs w:val="26"/>
        </w:rPr>
      </w:pPr>
    </w:p>
    <w:p w:rsidR="00751FCE" w:rsidRDefault="00751FCE" w:rsidP="0098541D">
      <w:pPr>
        <w:spacing w:line="360" w:lineRule="auto"/>
        <w:ind w:left="1440" w:hanging="1440"/>
        <w:jc w:val="both"/>
        <w:rPr>
          <w:sz w:val="26"/>
          <w:szCs w:val="26"/>
        </w:rPr>
      </w:pPr>
      <w:r>
        <w:rPr>
          <w:sz w:val="26"/>
          <w:szCs w:val="26"/>
        </w:rPr>
        <w:t>[5]</w:t>
      </w:r>
      <w:r>
        <w:rPr>
          <w:sz w:val="26"/>
          <w:szCs w:val="26"/>
        </w:rPr>
        <w:tab/>
      </w:r>
      <w:r w:rsidR="00C24728">
        <w:rPr>
          <w:sz w:val="26"/>
          <w:szCs w:val="26"/>
        </w:rPr>
        <w:t>Defe</w:t>
      </w:r>
      <w:r>
        <w:rPr>
          <w:sz w:val="26"/>
          <w:szCs w:val="26"/>
        </w:rPr>
        <w:t>nd</w:t>
      </w:r>
      <w:r w:rsidR="00C24728">
        <w:rPr>
          <w:sz w:val="26"/>
          <w:szCs w:val="26"/>
        </w:rPr>
        <w:t>a</w:t>
      </w:r>
      <w:r>
        <w:rPr>
          <w:sz w:val="26"/>
          <w:szCs w:val="26"/>
        </w:rPr>
        <w:t>nt highlights or lightens that pl</w:t>
      </w:r>
      <w:r w:rsidR="00DF26D3">
        <w:rPr>
          <w:sz w:val="26"/>
          <w:szCs w:val="26"/>
        </w:rPr>
        <w:t>a</w:t>
      </w:r>
      <w:r>
        <w:rPr>
          <w:sz w:val="26"/>
          <w:szCs w:val="26"/>
        </w:rPr>
        <w:t>int</w:t>
      </w:r>
      <w:r w:rsidR="00DF26D3">
        <w:rPr>
          <w:sz w:val="26"/>
          <w:szCs w:val="26"/>
        </w:rPr>
        <w:t>iff</w:t>
      </w:r>
      <w:r>
        <w:rPr>
          <w:sz w:val="26"/>
          <w:szCs w:val="26"/>
        </w:rPr>
        <w:t xml:space="preserve"> ought to have filed a notice in terms of Rule 41.  It is upon that notice that the defendant would have set down the matter for purposes of applying for leave to file a plea.</w:t>
      </w:r>
    </w:p>
    <w:p w:rsidR="00751FCE" w:rsidRDefault="00751FCE" w:rsidP="0098541D">
      <w:pPr>
        <w:spacing w:line="360" w:lineRule="auto"/>
        <w:ind w:left="1440" w:hanging="1440"/>
        <w:jc w:val="both"/>
        <w:rPr>
          <w:sz w:val="26"/>
          <w:szCs w:val="26"/>
        </w:rPr>
      </w:pPr>
    </w:p>
    <w:p w:rsidR="00751FCE" w:rsidRPr="002408A7" w:rsidRDefault="00751FCE" w:rsidP="0098541D">
      <w:pPr>
        <w:spacing w:line="360" w:lineRule="auto"/>
        <w:ind w:left="1440" w:hanging="1440"/>
        <w:jc w:val="both"/>
        <w:rPr>
          <w:sz w:val="26"/>
          <w:szCs w:val="26"/>
          <w:u w:val="single"/>
        </w:rPr>
      </w:pPr>
      <w:r>
        <w:rPr>
          <w:sz w:val="26"/>
          <w:szCs w:val="26"/>
        </w:rPr>
        <w:tab/>
      </w:r>
      <w:r w:rsidRPr="002408A7">
        <w:rPr>
          <w:sz w:val="26"/>
          <w:szCs w:val="26"/>
          <w:u w:val="single"/>
        </w:rPr>
        <w:t xml:space="preserve">Plaintiff’s </w:t>
      </w:r>
      <w:r w:rsidRPr="00C24728">
        <w:rPr>
          <w:i/>
          <w:sz w:val="26"/>
          <w:szCs w:val="26"/>
          <w:u w:val="single"/>
        </w:rPr>
        <w:t>au contraire</w:t>
      </w:r>
    </w:p>
    <w:p w:rsidR="002408A7" w:rsidRDefault="002408A7" w:rsidP="0098541D">
      <w:pPr>
        <w:spacing w:line="360" w:lineRule="auto"/>
        <w:ind w:left="1440" w:hanging="1440"/>
        <w:jc w:val="both"/>
        <w:rPr>
          <w:sz w:val="26"/>
          <w:szCs w:val="26"/>
        </w:rPr>
      </w:pPr>
    </w:p>
    <w:p w:rsidR="00751FCE" w:rsidRDefault="00751FCE" w:rsidP="0098541D">
      <w:pPr>
        <w:spacing w:line="360" w:lineRule="auto"/>
        <w:ind w:left="1440" w:hanging="1440"/>
        <w:jc w:val="both"/>
        <w:rPr>
          <w:sz w:val="26"/>
          <w:szCs w:val="26"/>
        </w:rPr>
      </w:pPr>
      <w:r>
        <w:rPr>
          <w:sz w:val="26"/>
          <w:szCs w:val="26"/>
        </w:rPr>
        <w:t>[6]</w:t>
      </w:r>
      <w:r>
        <w:rPr>
          <w:sz w:val="26"/>
          <w:szCs w:val="26"/>
        </w:rPr>
        <w:tab/>
      </w:r>
      <w:r w:rsidR="002408A7">
        <w:rPr>
          <w:sz w:val="26"/>
          <w:szCs w:val="26"/>
        </w:rPr>
        <w:t xml:space="preserve">The </w:t>
      </w:r>
      <w:r w:rsidR="00C24728">
        <w:rPr>
          <w:sz w:val="26"/>
          <w:szCs w:val="26"/>
        </w:rPr>
        <w:t>plaintiff</w:t>
      </w:r>
      <w:r w:rsidR="002408A7">
        <w:rPr>
          <w:sz w:val="26"/>
          <w:szCs w:val="26"/>
        </w:rPr>
        <w:t xml:space="preserve"> strenuously oppose</w:t>
      </w:r>
      <w:r w:rsidR="0053582B">
        <w:rPr>
          <w:sz w:val="26"/>
          <w:szCs w:val="26"/>
        </w:rPr>
        <w:t>d</w:t>
      </w:r>
      <w:r w:rsidR="002408A7">
        <w:rPr>
          <w:sz w:val="26"/>
          <w:szCs w:val="26"/>
        </w:rPr>
        <w:t xml:space="preserve"> the application by </w:t>
      </w:r>
      <w:r w:rsidR="00C24728">
        <w:rPr>
          <w:sz w:val="26"/>
          <w:szCs w:val="26"/>
        </w:rPr>
        <w:t>d</w:t>
      </w:r>
      <w:r w:rsidR="002408A7">
        <w:rPr>
          <w:sz w:val="26"/>
          <w:szCs w:val="26"/>
        </w:rPr>
        <w:t>e</w:t>
      </w:r>
      <w:r w:rsidR="00C24728">
        <w:rPr>
          <w:sz w:val="26"/>
          <w:szCs w:val="26"/>
        </w:rPr>
        <w:t>fe</w:t>
      </w:r>
      <w:r w:rsidR="002408A7">
        <w:rPr>
          <w:sz w:val="26"/>
          <w:szCs w:val="26"/>
        </w:rPr>
        <w:t>nd</w:t>
      </w:r>
      <w:r w:rsidR="00C24728">
        <w:rPr>
          <w:sz w:val="26"/>
          <w:szCs w:val="26"/>
        </w:rPr>
        <w:t>a</w:t>
      </w:r>
      <w:r w:rsidR="002408A7">
        <w:rPr>
          <w:sz w:val="26"/>
          <w:szCs w:val="26"/>
        </w:rPr>
        <w:t>nt.  It urge</w:t>
      </w:r>
      <w:r w:rsidR="0053582B">
        <w:rPr>
          <w:sz w:val="26"/>
          <w:szCs w:val="26"/>
        </w:rPr>
        <w:t>d</w:t>
      </w:r>
      <w:r w:rsidR="002408A7">
        <w:rPr>
          <w:sz w:val="26"/>
          <w:szCs w:val="26"/>
        </w:rPr>
        <w:t xml:space="preserve"> the court to look at the body of the Notice and consider that the Notice was one in terms of Rule 41.  Further, that by allowing pl</w:t>
      </w:r>
      <w:r w:rsidR="00C24728">
        <w:rPr>
          <w:sz w:val="26"/>
          <w:szCs w:val="26"/>
        </w:rPr>
        <w:t>a</w:t>
      </w:r>
      <w:r w:rsidR="002408A7">
        <w:rPr>
          <w:sz w:val="26"/>
          <w:szCs w:val="26"/>
        </w:rPr>
        <w:t>int</w:t>
      </w:r>
      <w:r w:rsidR="00C24728">
        <w:rPr>
          <w:sz w:val="26"/>
          <w:szCs w:val="26"/>
        </w:rPr>
        <w:t>iff</w:t>
      </w:r>
      <w:r w:rsidR="00DF26D3">
        <w:rPr>
          <w:sz w:val="26"/>
          <w:szCs w:val="26"/>
        </w:rPr>
        <w:t xml:space="preserve"> to</w:t>
      </w:r>
      <w:r w:rsidR="002408A7">
        <w:rPr>
          <w:sz w:val="26"/>
          <w:szCs w:val="26"/>
        </w:rPr>
        <w:t xml:space="preserve"> file its plea, it was merely</w:t>
      </w:r>
      <w:r w:rsidR="00DF26D3">
        <w:rPr>
          <w:sz w:val="26"/>
          <w:szCs w:val="26"/>
        </w:rPr>
        <w:t xml:space="preserve"> mitigating</w:t>
      </w:r>
      <w:r w:rsidR="002408A7">
        <w:rPr>
          <w:sz w:val="26"/>
          <w:szCs w:val="26"/>
        </w:rPr>
        <w:t xml:space="preserve"> the</w:t>
      </w:r>
      <w:r w:rsidR="0053582B">
        <w:rPr>
          <w:sz w:val="26"/>
          <w:szCs w:val="26"/>
        </w:rPr>
        <w:t xml:space="preserve"> cost of the </w:t>
      </w:r>
      <w:r w:rsidR="002408A7">
        <w:rPr>
          <w:sz w:val="26"/>
          <w:szCs w:val="26"/>
        </w:rPr>
        <w:t>proceedings.</w:t>
      </w:r>
    </w:p>
    <w:p w:rsidR="002408A7" w:rsidRDefault="002408A7" w:rsidP="0098541D">
      <w:pPr>
        <w:spacing w:line="360" w:lineRule="auto"/>
        <w:ind w:left="1440" w:hanging="1440"/>
        <w:jc w:val="both"/>
        <w:rPr>
          <w:sz w:val="26"/>
          <w:szCs w:val="26"/>
        </w:rPr>
      </w:pPr>
    </w:p>
    <w:p w:rsidR="002408A7" w:rsidRPr="002408A7" w:rsidRDefault="002408A7" w:rsidP="0098541D">
      <w:pPr>
        <w:spacing w:line="360" w:lineRule="auto"/>
        <w:ind w:left="1440" w:hanging="1440"/>
        <w:jc w:val="both"/>
        <w:rPr>
          <w:sz w:val="26"/>
          <w:szCs w:val="26"/>
          <w:u w:val="single"/>
        </w:rPr>
      </w:pPr>
      <w:r>
        <w:rPr>
          <w:sz w:val="26"/>
          <w:szCs w:val="26"/>
        </w:rPr>
        <w:tab/>
      </w:r>
      <w:r w:rsidRPr="002408A7">
        <w:rPr>
          <w:sz w:val="26"/>
          <w:szCs w:val="26"/>
          <w:u w:val="single"/>
        </w:rPr>
        <w:t>Adjudication</w:t>
      </w:r>
    </w:p>
    <w:p w:rsidR="00545E30" w:rsidRDefault="00545E30" w:rsidP="0098541D">
      <w:pPr>
        <w:spacing w:line="360" w:lineRule="auto"/>
        <w:ind w:left="1440" w:hanging="1440"/>
        <w:jc w:val="both"/>
        <w:rPr>
          <w:sz w:val="26"/>
          <w:szCs w:val="26"/>
        </w:rPr>
      </w:pPr>
    </w:p>
    <w:p w:rsidR="002408A7" w:rsidRDefault="002408A7" w:rsidP="0098541D">
      <w:pPr>
        <w:spacing w:line="360" w:lineRule="auto"/>
        <w:ind w:left="1440" w:hanging="1440"/>
        <w:jc w:val="both"/>
        <w:rPr>
          <w:sz w:val="26"/>
          <w:szCs w:val="26"/>
        </w:rPr>
      </w:pPr>
      <w:r>
        <w:rPr>
          <w:sz w:val="26"/>
          <w:szCs w:val="26"/>
        </w:rPr>
        <w:tab/>
      </w:r>
      <w:r w:rsidR="00D35B16">
        <w:rPr>
          <w:sz w:val="26"/>
          <w:szCs w:val="26"/>
        </w:rPr>
        <w:t xml:space="preserve">Rule 41 </w:t>
      </w:r>
      <w:r w:rsidR="001B7A07">
        <w:rPr>
          <w:sz w:val="26"/>
          <w:szCs w:val="26"/>
        </w:rPr>
        <w:t>postulates</w:t>
      </w:r>
      <w:r w:rsidR="00D35B16">
        <w:rPr>
          <w:sz w:val="26"/>
          <w:szCs w:val="26"/>
        </w:rPr>
        <w:t>:</w:t>
      </w:r>
    </w:p>
    <w:p w:rsidR="00D35B16" w:rsidRDefault="00D35B16" w:rsidP="0098541D">
      <w:pPr>
        <w:spacing w:line="360" w:lineRule="auto"/>
        <w:ind w:left="1440" w:hanging="1440"/>
        <w:jc w:val="both"/>
        <w:rPr>
          <w:sz w:val="26"/>
          <w:szCs w:val="26"/>
        </w:rPr>
      </w:pPr>
    </w:p>
    <w:p w:rsidR="00D35B16" w:rsidRPr="00E107EC" w:rsidRDefault="00D35B16" w:rsidP="00E107EC">
      <w:pPr>
        <w:spacing w:line="276" w:lineRule="auto"/>
        <w:ind w:left="3600" w:hanging="1440"/>
        <w:jc w:val="both"/>
        <w:rPr>
          <w:i/>
          <w:sz w:val="22"/>
          <w:szCs w:val="22"/>
        </w:rPr>
      </w:pPr>
      <w:r>
        <w:rPr>
          <w:sz w:val="26"/>
          <w:szCs w:val="26"/>
        </w:rPr>
        <w:t>“</w:t>
      </w:r>
      <w:r w:rsidR="00E107EC" w:rsidRPr="00E107EC">
        <w:rPr>
          <w:i/>
          <w:sz w:val="22"/>
          <w:szCs w:val="22"/>
        </w:rPr>
        <w:t>41 (1) (a)</w:t>
      </w:r>
      <w:r w:rsidR="00E107EC" w:rsidRPr="00E107EC">
        <w:rPr>
          <w:i/>
          <w:sz w:val="22"/>
          <w:szCs w:val="22"/>
        </w:rPr>
        <w:tab/>
        <w:t xml:space="preserve">A person instituting any proceedings may at any time before the matter has been set down and thereafter by consent of the parties or leave of the court withdraw such proceedings, in any of which events he shall deliver a notice of withdrawal and may embody </w:t>
      </w:r>
      <w:r w:rsidR="00E107EC" w:rsidRPr="00E107EC">
        <w:rPr>
          <w:i/>
          <w:sz w:val="22"/>
          <w:szCs w:val="22"/>
        </w:rPr>
        <w:lastRenderedPageBreak/>
        <w:t>in such notice a consent to pay costs; and the Taxing Master shall tax such costs on the request of the other party.”</w:t>
      </w:r>
    </w:p>
    <w:p w:rsidR="00D35B16" w:rsidRDefault="00D35B16" w:rsidP="0098541D">
      <w:pPr>
        <w:spacing w:line="360" w:lineRule="auto"/>
        <w:ind w:left="1440" w:hanging="1440"/>
        <w:jc w:val="both"/>
        <w:rPr>
          <w:sz w:val="26"/>
          <w:szCs w:val="26"/>
        </w:rPr>
      </w:pPr>
    </w:p>
    <w:p w:rsidR="00D35B16" w:rsidRDefault="00A527C9" w:rsidP="0098541D">
      <w:pPr>
        <w:spacing w:line="360" w:lineRule="auto"/>
        <w:ind w:left="1440" w:hanging="1440"/>
        <w:jc w:val="both"/>
        <w:rPr>
          <w:sz w:val="26"/>
          <w:szCs w:val="26"/>
        </w:rPr>
      </w:pPr>
      <w:r>
        <w:rPr>
          <w:sz w:val="26"/>
          <w:szCs w:val="26"/>
        </w:rPr>
        <w:tab/>
        <w:t>On the other hand the body of the Notices reads:</w:t>
      </w:r>
    </w:p>
    <w:p w:rsidR="0053582B" w:rsidRDefault="0053582B" w:rsidP="0098541D">
      <w:pPr>
        <w:spacing w:line="360" w:lineRule="auto"/>
        <w:ind w:left="1440" w:hanging="1440"/>
        <w:jc w:val="both"/>
        <w:rPr>
          <w:sz w:val="26"/>
          <w:szCs w:val="26"/>
        </w:rPr>
      </w:pPr>
    </w:p>
    <w:p w:rsidR="00A527C9" w:rsidRPr="00A527C9" w:rsidRDefault="00A527C9" w:rsidP="00A527C9">
      <w:pPr>
        <w:spacing w:line="276" w:lineRule="auto"/>
        <w:ind w:left="2160"/>
        <w:jc w:val="both"/>
        <w:rPr>
          <w:i/>
          <w:sz w:val="22"/>
          <w:szCs w:val="22"/>
        </w:rPr>
      </w:pPr>
      <w:r>
        <w:rPr>
          <w:sz w:val="26"/>
          <w:szCs w:val="26"/>
        </w:rPr>
        <w:t>“</w:t>
      </w:r>
      <w:r w:rsidRPr="00A527C9">
        <w:rPr>
          <w:i/>
          <w:sz w:val="22"/>
          <w:szCs w:val="22"/>
        </w:rPr>
        <w:t>The Plaintiff hereby abandons its Summary Judgment Application and grants the Defendant leave to file its PLEA within twenty one (21) days after receipt hereof.”</w:t>
      </w:r>
    </w:p>
    <w:p w:rsidR="00545E30" w:rsidRPr="00A527C9" w:rsidRDefault="00545E30" w:rsidP="0098541D">
      <w:pPr>
        <w:spacing w:line="360" w:lineRule="auto"/>
        <w:ind w:left="1440" w:hanging="1440"/>
        <w:jc w:val="both"/>
        <w:rPr>
          <w:sz w:val="22"/>
          <w:szCs w:val="22"/>
        </w:rPr>
      </w:pPr>
    </w:p>
    <w:p w:rsidR="00545E30" w:rsidRDefault="00CC2F74" w:rsidP="0098541D">
      <w:pPr>
        <w:spacing w:line="360" w:lineRule="auto"/>
        <w:ind w:left="1440" w:hanging="1440"/>
        <w:jc w:val="both"/>
        <w:rPr>
          <w:sz w:val="26"/>
          <w:szCs w:val="26"/>
        </w:rPr>
      </w:pPr>
      <w:r>
        <w:rPr>
          <w:sz w:val="26"/>
          <w:szCs w:val="26"/>
        </w:rPr>
        <w:t>[</w:t>
      </w:r>
      <w:r w:rsidR="00C24728">
        <w:rPr>
          <w:sz w:val="26"/>
          <w:szCs w:val="26"/>
        </w:rPr>
        <w:t>7</w:t>
      </w:r>
      <w:r>
        <w:rPr>
          <w:sz w:val="26"/>
          <w:szCs w:val="26"/>
        </w:rPr>
        <w:t>]</w:t>
      </w:r>
      <w:r>
        <w:rPr>
          <w:sz w:val="26"/>
          <w:szCs w:val="26"/>
        </w:rPr>
        <w:tab/>
        <w:t xml:space="preserve">The question at the back of my mind is whether this notice could be held </w:t>
      </w:r>
      <w:r w:rsidR="00502570">
        <w:rPr>
          <w:sz w:val="26"/>
          <w:szCs w:val="26"/>
        </w:rPr>
        <w:t>as irregular to warrant dismissal with costs?</w:t>
      </w:r>
    </w:p>
    <w:p w:rsidR="00502570" w:rsidRDefault="00502570" w:rsidP="0098541D">
      <w:pPr>
        <w:spacing w:line="360" w:lineRule="auto"/>
        <w:ind w:left="1440" w:hanging="1440"/>
        <w:jc w:val="both"/>
        <w:rPr>
          <w:sz w:val="26"/>
          <w:szCs w:val="26"/>
        </w:rPr>
      </w:pPr>
    </w:p>
    <w:p w:rsidR="00502570" w:rsidRDefault="00502570" w:rsidP="0098541D">
      <w:pPr>
        <w:spacing w:line="360" w:lineRule="auto"/>
        <w:ind w:left="1440" w:hanging="1440"/>
        <w:jc w:val="both"/>
        <w:rPr>
          <w:sz w:val="26"/>
          <w:szCs w:val="26"/>
        </w:rPr>
      </w:pPr>
      <w:r>
        <w:rPr>
          <w:sz w:val="26"/>
          <w:szCs w:val="26"/>
        </w:rPr>
        <w:t>[</w:t>
      </w:r>
      <w:r w:rsidR="00C24728">
        <w:rPr>
          <w:sz w:val="26"/>
          <w:szCs w:val="26"/>
        </w:rPr>
        <w:t>8</w:t>
      </w:r>
      <w:r>
        <w:rPr>
          <w:sz w:val="26"/>
          <w:szCs w:val="26"/>
        </w:rPr>
        <w:t>]</w:t>
      </w:r>
      <w:r>
        <w:rPr>
          <w:sz w:val="26"/>
          <w:szCs w:val="26"/>
        </w:rPr>
        <w:tab/>
        <w:t xml:space="preserve">Discussing the subject of irregularity </w:t>
      </w:r>
      <w:proofErr w:type="spellStart"/>
      <w:r w:rsidRPr="00502570">
        <w:rPr>
          <w:b/>
          <w:sz w:val="26"/>
          <w:szCs w:val="26"/>
        </w:rPr>
        <w:t>Herbstein</w:t>
      </w:r>
      <w:proofErr w:type="spellEnd"/>
      <w:r w:rsidRPr="00502570">
        <w:rPr>
          <w:b/>
          <w:sz w:val="26"/>
          <w:szCs w:val="26"/>
        </w:rPr>
        <w:t xml:space="preserve"> and Van </w:t>
      </w:r>
      <w:proofErr w:type="spellStart"/>
      <w:r w:rsidRPr="00502570">
        <w:rPr>
          <w:b/>
          <w:sz w:val="26"/>
          <w:szCs w:val="26"/>
        </w:rPr>
        <w:t>Winsen</w:t>
      </w:r>
      <w:proofErr w:type="spellEnd"/>
      <w:r>
        <w:rPr>
          <w:sz w:val="26"/>
          <w:szCs w:val="26"/>
        </w:rPr>
        <w:t xml:space="preserve">, </w:t>
      </w:r>
      <w:r w:rsidR="00FF4B45">
        <w:rPr>
          <w:sz w:val="26"/>
          <w:szCs w:val="26"/>
        </w:rPr>
        <w:t>“</w:t>
      </w:r>
      <w:r w:rsidRPr="00502570">
        <w:rPr>
          <w:b/>
          <w:sz w:val="26"/>
          <w:szCs w:val="26"/>
        </w:rPr>
        <w:t>The Civil Practice of the Supreme Court of South Africa</w:t>
      </w:r>
      <w:r w:rsidR="00FF4B45">
        <w:rPr>
          <w:b/>
          <w:sz w:val="26"/>
          <w:szCs w:val="26"/>
        </w:rPr>
        <w:t>”</w:t>
      </w:r>
      <w:r>
        <w:rPr>
          <w:sz w:val="26"/>
          <w:szCs w:val="26"/>
        </w:rPr>
        <w:t xml:space="preserve"> at page 559 outlines various instances where an application under Rule 30 was filed, one of this instance is:  </w:t>
      </w:r>
    </w:p>
    <w:p w:rsidR="00545E30" w:rsidRDefault="00545E30" w:rsidP="0098541D">
      <w:pPr>
        <w:spacing w:line="360" w:lineRule="auto"/>
        <w:ind w:left="1440" w:hanging="1440"/>
        <w:jc w:val="both"/>
        <w:rPr>
          <w:sz w:val="26"/>
          <w:szCs w:val="26"/>
        </w:rPr>
      </w:pPr>
    </w:p>
    <w:p w:rsidR="00545E30" w:rsidRDefault="00502570" w:rsidP="00502570">
      <w:pPr>
        <w:spacing w:line="360" w:lineRule="auto"/>
        <w:ind w:left="2160"/>
        <w:jc w:val="both"/>
        <w:rPr>
          <w:sz w:val="26"/>
          <w:szCs w:val="26"/>
        </w:rPr>
      </w:pPr>
      <w:r>
        <w:rPr>
          <w:sz w:val="26"/>
          <w:szCs w:val="26"/>
        </w:rPr>
        <w:t>“</w:t>
      </w:r>
      <w:r w:rsidRPr="00502570">
        <w:rPr>
          <w:i/>
          <w:sz w:val="22"/>
          <w:szCs w:val="22"/>
        </w:rPr>
        <w:t>where an incorrect form of proceedings was alleged to have been used.</w:t>
      </w:r>
      <w:r>
        <w:rPr>
          <w:sz w:val="26"/>
          <w:szCs w:val="26"/>
        </w:rPr>
        <w:t>”</w:t>
      </w:r>
    </w:p>
    <w:p w:rsidR="00545E30" w:rsidRDefault="00545E30" w:rsidP="0098541D">
      <w:pPr>
        <w:spacing w:line="360" w:lineRule="auto"/>
        <w:ind w:left="1440" w:hanging="1440"/>
        <w:jc w:val="both"/>
        <w:rPr>
          <w:sz w:val="26"/>
          <w:szCs w:val="26"/>
        </w:rPr>
      </w:pPr>
    </w:p>
    <w:p w:rsidR="00502570" w:rsidRDefault="00502570" w:rsidP="0098541D">
      <w:pPr>
        <w:spacing w:line="360" w:lineRule="auto"/>
        <w:ind w:left="1440" w:hanging="1440"/>
        <w:jc w:val="both"/>
        <w:rPr>
          <w:sz w:val="26"/>
          <w:szCs w:val="26"/>
        </w:rPr>
      </w:pPr>
      <w:r>
        <w:rPr>
          <w:sz w:val="26"/>
          <w:szCs w:val="26"/>
        </w:rPr>
        <w:tab/>
        <w:t xml:space="preserve">The learned authors however, point out as follows: </w:t>
      </w:r>
    </w:p>
    <w:p w:rsidR="00545E30" w:rsidRDefault="00545E30" w:rsidP="0098541D">
      <w:pPr>
        <w:spacing w:line="360" w:lineRule="auto"/>
        <w:ind w:left="1440" w:hanging="1440"/>
        <w:jc w:val="both"/>
        <w:rPr>
          <w:sz w:val="26"/>
          <w:szCs w:val="26"/>
        </w:rPr>
      </w:pPr>
    </w:p>
    <w:p w:rsidR="00545E30" w:rsidRDefault="00502570" w:rsidP="00A75A79">
      <w:pPr>
        <w:spacing w:line="276" w:lineRule="auto"/>
        <w:ind w:left="2160"/>
        <w:jc w:val="both"/>
        <w:rPr>
          <w:sz w:val="26"/>
          <w:szCs w:val="26"/>
        </w:rPr>
      </w:pPr>
      <w:r w:rsidRPr="00A75A79">
        <w:rPr>
          <w:i/>
          <w:sz w:val="22"/>
          <w:szCs w:val="22"/>
        </w:rPr>
        <w:t xml:space="preserve">“The applications brought in these cases did not all succeed, for even </w:t>
      </w:r>
      <w:r w:rsidR="00682FB6" w:rsidRPr="00A75A79">
        <w:rPr>
          <w:i/>
          <w:sz w:val="22"/>
          <w:szCs w:val="22"/>
        </w:rPr>
        <w:t>where an irregularity is established, the court may refuse the applicat</w:t>
      </w:r>
      <w:r w:rsidR="00A75A79" w:rsidRPr="00A75A79">
        <w:rPr>
          <w:i/>
          <w:sz w:val="22"/>
          <w:szCs w:val="22"/>
        </w:rPr>
        <w:t>ion if no prejudice was caused to the objecting party.</w:t>
      </w:r>
      <w:r w:rsidR="00A75A79">
        <w:rPr>
          <w:sz w:val="26"/>
          <w:szCs w:val="26"/>
        </w:rPr>
        <w:t>”</w:t>
      </w:r>
    </w:p>
    <w:p w:rsidR="00545E30" w:rsidRDefault="00545E30" w:rsidP="0098541D">
      <w:pPr>
        <w:spacing w:line="360" w:lineRule="auto"/>
        <w:ind w:left="1440" w:hanging="1440"/>
        <w:jc w:val="both"/>
        <w:rPr>
          <w:sz w:val="26"/>
          <w:szCs w:val="26"/>
        </w:rPr>
      </w:pPr>
    </w:p>
    <w:p w:rsidR="00545E30" w:rsidRDefault="00A75A79" w:rsidP="0098541D">
      <w:pPr>
        <w:spacing w:line="360" w:lineRule="auto"/>
        <w:ind w:left="1440" w:hanging="1440"/>
        <w:jc w:val="both"/>
        <w:rPr>
          <w:sz w:val="26"/>
          <w:szCs w:val="26"/>
        </w:rPr>
      </w:pPr>
      <w:r>
        <w:rPr>
          <w:sz w:val="26"/>
          <w:szCs w:val="26"/>
        </w:rPr>
        <w:tab/>
        <w:t>At page 558, the distinguished authors state:</w:t>
      </w:r>
    </w:p>
    <w:p w:rsidR="00A75A79" w:rsidRDefault="00A75A79" w:rsidP="0098541D">
      <w:pPr>
        <w:spacing w:line="360" w:lineRule="auto"/>
        <w:ind w:left="1440" w:hanging="1440"/>
        <w:jc w:val="both"/>
        <w:rPr>
          <w:sz w:val="26"/>
          <w:szCs w:val="26"/>
        </w:rPr>
      </w:pPr>
    </w:p>
    <w:p w:rsidR="00A75A79" w:rsidRDefault="00A75A79" w:rsidP="00A75A79">
      <w:pPr>
        <w:spacing w:line="276" w:lineRule="auto"/>
        <w:ind w:left="2160"/>
        <w:jc w:val="both"/>
        <w:rPr>
          <w:sz w:val="26"/>
          <w:szCs w:val="26"/>
        </w:rPr>
      </w:pPr>
      <w:r>
        <w:rPr>
          <w:sz w:val="26"/>
          <w:szCs w:val="26"/>
        </w:rPr>
        <w:t>“</w:t>
      </w:r>
      <w:proofErr w:type="gramStart"/>
      <w:r w:rsidRPr="00A75A79">
        <w:rPr>
          <w:i/>
          <w:sz w:val="22"/>
          <w:szCs w:val="22"/>
        </w:rPr>
        <w:t>where</w:t>
      </w:r>
      <w:proofErr w:type="gramEnd"/>
      <w:r w:rsidRPr="00A75A79">
        <w:rPr>
          <w:i/>
          <w:sz w:val="22"/>
          <w:szCs w:val="22"/>
        </w:rPr>
        <w:t xml:space="preserve"> the irregular step causes no prejudice, it is best ignored or corrected by some non-litigious means,</w:t>
      </w:r>
      <w:r w:rsidR="0053582B">
        <w:rPr>
          <w:i/>
          <w:sz w:val="22"/>
          <w:szCs w:val="22"/>
        </w:rPr>
        <w:t xml:space="preserve"> since</w:t>
      </w:r>
      <w:r w:rsidRPr="00A75A79">
        <w:rPr>
          <w:i/>
          <w:sz w:val="22"/>
          <w:szCs w:val="22"/>
        </w:rPr>
        <w:t xml:space="preserve"> an application </w:t>
      </w:r>
      <w:r w:rsidR="00BA30F4">
        <w:rPr>
          <w:i/>
          <w:sz w:val="22"/>
          <w:szCs w:val="22"/>
        </w:rPr>
        <w:t xml:space="preserve">to </w:t>
      </w:r>
      <w:r w:rsidRPr="00A75A79">
        <w:rPr>
          <w:i/>
          <w:sz w:val="22"/>
          <w:szCs w:val="22"/>
        </w:rPr>
        <w:t>set it aside is likely to be dismissed</w:t>
      </w:r>
      <w:r>
        <w:rPr>
          <w:sz w:val="26"/>
          <w:szCs w:val="26"/>
        </w:rPr>
        <w:t>.”</w:t>
      </w:r>
    </w:p>
    <w:p w:rsidR="00C24728" w:rsidRDefault="00C24728" w:rsidP="0098541D">
      <w:pPr>
        <w:spacing w:line="360" w:lineRule="auto"/>
        <w:ind w:left="1440" w:hanging="1440"/>
        <w:jc w:val="both"/>
        <w:rPr>
          <w:sz w:val="26"/>
          <w:szCs w:val="26"/>
        </w:rPr>
      </w:pPr>
    </w:p>
    <w:p w:rsidR="00A75A79" w:rsidRDefault="00C24728" w:rsidP="0098541D">
      <w:pPr>
        <w:spacing w:line="360" w:lineRule="auto"/>
        <w:ind w:left="1440" w:hanging="1440"/>
        <w:jc w:val="both"/>
        <w:rPr>
          <w:sz w:val="26"/>
          <w:szCs w:val="26"/>
        </w:rPr>
      </w:pPr>
      <w:r>
        <w:rPr>
          <w:sz w:val="26"/>
          <w:szCs w:val="26"/>
        </w:rPr>
        <w:lastRenderedPageBreak/>
        <w:t>[9</w:t>
      </w:r>
      <w:r w:rsidR="00A75A79">
        <w:rPr>
          <w:sz w:val="26"/>
          <w:szCs w:val="26"/>
        </w:rPr>
        <w:t>]</w:t>
      </w:r>
      <w:r w:rsidR="00A75A79">
        <w:rPr>
          <w:sz w:val="26"/>
          <w:szCs w:val="26"/>
        </w:rPr>
        <w:tab/>
        <w:t>It appears to me that from the above principle that one of the main characteristic feature of an irregular proceeding is prejudice.</w:t>
      </w:r>
      <w:r w:rsidR="00A75A79">
        <w:rPr>
          <w:sz w:val="26"/>
          <w:szCs w:val="26"/>
        </w:rPr>
        <w:tab/>
        <w:t>The question therefore</w:t>
      </w:r>
      <w:r w:rsidR="00BA30F4">
        <w:rPr>
          <w:sz w:val="26"/>
          <w:szCs w:val="26"/>
        </w:rPr>
        <w:t>,</w:t>
      </w:r>
      <w:r w:rsidR="00A75A79">
        <w:rPr>
          <w:sz w:val="26"/>
          <w:szCs w:val="26"/>
        </w:rPr>
        <w:t xml:space="preserve"> that </w:t>
      </w:r>
      <w:r w:rsidR="006A1ED6">
        <w:rPr>
          <w:sz w:val="26"/>
          <w:szCs w:val="26"/>
        </w:rPr>
        <w:t>begs for an answer is</w:t>
      </w:r>
      <w:r w:rsidR="00BA30F4">
        <w:rPr>
          <w:sz w:val="26"/>
          <w:szCs w:val="26"/>
        </w:rPr>
        <w:t>,</w:t>
      </w:r>
      <w:r w:rsidR="006A1ED6">
        <w:rPr>
          <w:sz w:val="26"/>
          <w:szCs w:val="26"/>
        </w:rPr>
        <w:t xml:space="preserve"> whether the Notice was prejudicial to the defendant</w:t>
      </w:r>
      <w:r w:rsidR="00BA30F4">
        <w:rPr>
          <w:sz w:val="26"/>
          <w:szCs w:val="26"/>
        </w:rPr>
        <w:t>?</w:t>
      </w:r>
      <w:r w:rsidR="00125F32">
        <w:rPr>
          <w:sz w:val="26"/>
          <w:szCs w:val="26"/>
        </w:rPr>
        <w:t xml:space="preserve"> </w:t>
      </w:r>
      <w:r w:rsidR="001B7A07">
        <w:rPr>
          <w:sz w:val="26"/>
          <w:szCs w:val="26"/>
        </w:rPr>
        <w:t>H</w:t>
      </w:r>
      <w:r w:rsidR="006A1ED6">
        <w:rPr>
          <w:sz w:val="26"/>
          <w:szCs w:val="26"/>
        </w:rPr>
        <w:t>ow does one ascertain whether a process is prejudicial to the objecting party?</w:t>
      </w:r>
    </w:p>
    <w:p w:rsidR="00C24728" w:rsidRDefault="00C24728" w:rsidP="0098541D">
      <w:pPr>
        <w:spacing w:line="360" w:lineRule="auto"/>
        <w:ind w:left="1440" w:hanging="1440"/>
        <w:jc w:val="both"/>
        <w:rPr>
          <w:sz w:val="26"/>
          <w:szCs w:val="26"/>
        </w:rPr>
      </w:pPr>
    </w:p>
    <w:p w:rsidR="001B7A07" w:rsidRDefault="006A1ED6" w:rsidP="0098541D">
      <w:pPr>
        <w:spacing w:line="360" w:lineRule="auto"/>
        <w:ind w:left="1440" w:hanging="1440"/>
        <w:jc w:val="both"/>
        <w:rPr>
          <w:sz w:val="26"/>
          <w:szCs w:val="26"/>
        </w:rPr>
      </w:pPr>
      <w:r>
        <w:rPr>
          <w:sz w:val="26"/>
          <w:szCs w:val="26"/>
        </w:rPr>
        <w:t>[1</w:t>
      </w:r>
      <w:r w:rsidR="00C24728">
        <w:rPr>
          <w:sz w:val="26"/>
          <w:szCs w:val="26"/>
        </w:rPr>
        <w:t>0</w:t>
      </w:r>
      <w:r>
        <w:rPr>
          <w:sz w:val="26"/>
          <w:szCs w:val="26"/>
        </w:rPr>
        <w:t>]</w:t>
      </w:r>
      <w:r>
        <w:rPr>
          <w:sz w:val="26"/>
          <w:szCs w:val="26"/>
        </w:rPr>
        <w:tab/>
      </w:r>
      <w:r w:rsidRPr="001B7A07">
        <w:rPr>
          <w:b/>
          <w:sz w:val="26"/>
          <w:szCs w:val="26"/>
        </w:rPr>
        <w:t xml:space="preserve">His Lordship Schreiner JA </w:t>
      </w:r>
      <w:r w:rsidRPr="00BA30F4">
        <w:rPr>
          <w:sz w:val="26"/>
          <w:szCs w:val="26"/>
        </w:rPr>
        <w:t>in</w:t>
      </w:r>
      <w:r w:rsidRPr="001B7A07">
        <w:rPr>
          <w:b/>
          <w:sz w:val="26"/>
          <w:szCs w:val="26"/>
        </w:rPr>
        <w:t xml:space="preserve"> Trans-African Insurance Co. Ltd. v </w:t>
      </w:r>
      <w:proofErr w:type="spellStart"/>
      <w:r w:rsidRPr="001B7A07">
        <w:rPr>
          <w:b/>
          <w:sz w:val="26"/>
          <w:szCs w:val="26"/>
        </w:rPr>
        <w:t>Maluleke</w:t>
      </w:r>
      <w:proofErr w:type="spellEnd"/>
      <w:r w:rsidR="00125F32">
        <w:rPr>
          <w:b/>
          <w:sz w:val="26"/>
          <w:szCs w:val="26"/>
        </w:rPr>
        <w:t xml:space="preserve"> </w:t>
      </w:r>
      <w:r w:rsidRPr="001B7A07">
        <w:rPr>
          <w:b/>
          <w:sz w:val="26"/>
          <w:szCs w:val="26"/>
        </w:rPr>
        <w:t xml:space="preserve">1956 (2) </w:t>
      </w:r>
      <w:r w:rsidR="001B7A07" w:rsidRPr="001B7A07">
        <w:rPr>
          <w:b/>
          <w:sz w:val="26"/>
          <w:szCs w:val="26"/>
        </w:rPr>
        <w:t>SA 273</w:t>
      </w:r>
      <w:r w:rsidR="001B7A07">
        <w:rPr>
          <w:sz w:val="26"/>
          <w:szCs w:val="26"/>
        </w:rPr>
        <w:t xml:space="preserve"> outlined the approach on the question of prejudice very </w:t>
      </w:r>
      <w:r w:rsidR="00BA30F4">
        <w:rPr>
          <w:sz w:val="26"/>
          <w:szCs w:val="26"/>
        </w:rPr>
        <w:t>succinctly</w:t>
      </w:r>
      <w:r w:rsidR="001B7A07">
        <w:rPr>
          <w:sz w:val="26"/>
          <w:szCs w:val="26"/>
        </w:rPr>
        <w:t xml:space="preserve">.  The learned judge was faced with an application to have summons dismissed for want of cause of action.  His Lordship </w:t>
      </w:r>
      <w:proofErr w:type="spellStart"/>
      <w:r w:rsidR="001B7A07">
        <w:rPr>
          <w:sz w:val="26"/>
          <w:szCs w:val="26"/>
        </w:rPr>
        <w:t>analysed</w:t>
      </w:r>
      <w:proofErr w:type="spellEnd"/>
      <w:r w:rsidR="001B7A07">
        <w:rPr>
          <w:sz w:val="26"/>
          <w:szCs w:val="26"/>
        </w:rPr>
        <w:t xml:space="preserve"> the particulars of claim and concluded:</w:t>
      </w:r>
    </w:p>
    <w:p w:rsidR="001B7A07" w:rsidRDefault="001B7A07" w:rsidP="0098541D">
      <w:pPr>
        <w:spacing w:line="360" w:lineRule="auto"/>
        <w:ind w:left="1440" w:hanging="1440"/>
        <w:jc w:val="both"/>
        <w:rPr>
          <w:sz w:val="26"/>
          <w:szCs w:val="26"/>
        </w:rPr>
      </w:pPr>
    </w:p>
    <w:p w:rsidR="006A1ED6" w:rsidRDefault="001B7A07" w:rsidP="00FC157E">
      <w:pPr>
        <w:spacing w:line="276" w:lineRule="auto"/>
        <w:ind w:left="2160"/>
        <w:jc w:val="both"/>
        <w:rPr>
          <w:sz w:val="26"/>
          <w:szCs w:val="26"/>
        </w:rPr>
      </w:pPr>
      <w:r>
        <w:rPr>
          <w:sz w:val="26"/>
          <w:szCs w:val="26"/>
        </w:rPr>
        <w:t>“</w:t>
      </w:r>
      <w:r w:rsidRPr="00FC157E">
        <w:rPr>
          <w:i/>
          <w:sz w:val="22"/>
          <w:szCs w:val="22"/>
        </w:rPr>
        <w:t xml:space="preserve">It is clearly possible to find flaws in the summons; it would have </w:t>
      </w:r>
      <w:r w:rsidR="00761845" w:rsidRPr="00FC157E">
        <w:rPr>
          <w:i/>
          <w:sz w:val="22"/>
          <w:szCs w:val="22"/>
        </w:rPr>
        <w:t>been preferable, no doubt, to give a clear indication that the appellant was being sued as the insurer of a motor vehicle the driver of which had negligently cause</w:t>
      </w:r>
      <w:r w:rsidR="00B00D85" w:rsidRPr="00FC157E">
        <w:rPr>
          <w:i/>
          <w:sz w:val="22"/>
          <w:szCs w:val="22"/>
        </w:rPr>
        <w:t xml:space="preserve">d the death of Dick </w:t>
      </w:r>
      <w:proofErr w:type="spellStart"/>
      <w:r w:rsidR="00B00D85" w:rsidRPr="00FC157E">
        <w:rPr>
          <w:i/>
          <w:sz w:val="22"/>
          <w:szCs w:val="22"/>
        </w:rPr>
        <w:t>Maluleka</w:t>
      </w:r>
      <w:proofErr w:type="spellEnd"/>
      <w:r w:rsidR="00B00D85" w:rsidRPr="00FC157E">
        <w:rPr>
          <w:i/>
          <w:sz w:val="22"/>
          <w:szCs w:val="22"/>
        </w:rPr>
        <w:t>.  But the name of the appellant shows that it</w:t>
      </w:r>
      <w:r w:rsidR="00125F32">
        <w:rPr>
          <w:i/>
          <w:sz w:val="22"/>
          <w:szCs w:val="22"/>
        </w:rPr>
        <w:t xml:space="preserve"> </w:t>
      </w:r>
      <w:r w:rsidR="00B00D85" w:rsidRPr="00FC157E">
        <w:rPr>
          <w:i/>
          <w:sz w:val="22"/>
          <w:szCs w:val="22"/>
        </w:rPr>
        <w:t xml:space="preserve">is an insurance company and, apart from the rather remote possibility that Dick </w:t>
      </w:r>
      <w:proofErr w:type="spellStart"/>
      <w:r w:rsidR="00B00D85" w:rsidRPr="00FC157E">
        <w:rPr>
          <w:i/>
          <w:sz w:val="22"/>
          <w:szCs w:val="22"/>
        </w:rPr>
        <w:t>Maluleka</w:t>
      </w:r>
      <w:proofErr w:type="spellEnd"/>
      <w:r w:rsidR="00B00D85" w:rsidRPr="00FC157E">
        <w:rPr>
          <w:i/>
          <w:sz w:val="22"/>
          <w:szCs w:val="22"/>
        </w:rPr>
        <w:t xml:space="preserve"> met his death through the actions of a servant or agent o</w:t>
      </w:r>
      <w:r w:rsidR="00A60636" w:rsidRPr="00FC157E">
        <w:rPr>
          <w:i/>
          <w:sz w:val="22"/>
          <w:szCs w:val="22"/>
        </w:rPr>
        <w:t>f the applicant</w:t>
      </w:r>
      <w:r w:rsidR="00FC157E" w:rsidRPr="00FC157E">
        <w:rPr>
          <w:i/>
          <w:sz w:val="22"/>
          <w:szCs w:val="22"/>
        </w:rPr>
        <w:t xml:space="preserve"> the implication would seem to be fairly clear that it was under Act 29 of 1947 that the respondent was seeking to make the appellant liable</w:t>
      </w:r>
      <w:r w:rsidR="00FC157E">
        <w:rPr>
          <w:sz w:val="26"/>
          <w:szCs w:val="26"/>
        </w:rPr>
        <w:t>.”</w:t>
      </w:r>
    </w:p>
    <w:p w:rsidR="00545E30" w:rsidRDefault="00545E30" w:rsidP="0098541D">
      <w:pPr>
        <w:spacing w:line="360" w:lineRule="auto"/>
        <w:ind w:left="1440" w:hanging="1440"/>
        <w:jc w:val="both"/>
        <w:rPr>
          <w:sz w:val="26"/>
          <w:szCs w:val="26"/>
        </w:rPr>
      </w:pPr>
    </w:p>
    <w:p w:rsidR="00545E30" w:rsidRDefault="00FC157E" w:rsidP="0098541D">
      <w:pPr>
        <w:spacing w:line="360" w:lineRule="auto"/>
        <w:ind w:left="1440" w:hanging="1440"/>
        <w:jc w:val="both"/>
        <w:rPr>
          <w:sz w:val="26"/>
          <w:szCs w:val="26"/>
        </w:rPr>
      </w:pPr>
      <w:r>
        <w:rPr>
          <w:sz w:val="26"/>
          <w:szCs w:val="26"/>
        </w:rPr>
        <w:tab/>
        <w:t>The learned judge proceeded:</w:t>
      </w:r>
    </w:p>
    <w:p w:rsidR="00545E30" w:rsidRDefault="00545E30" w:rsidP="0098541D">
      <w:pPr>
        <w:spacing w:line="360" w:lineRule="auto"/>
        <w:ind w:left="1440" w:hanging="1440"/>
        <w:jc w:val="both"/>
        <w:rPr>
          <w:sz w:val="26"/>
          <w:szCs w:val="26"/>
        </w:rPr>
      </w:pPr>
    </w:p>
    <w:p w:rsidR="00545E30" w:rsidRDefault="00FC157E" w:rsidP="00FC157E">
      <w:pPr>
        <w:spacing w:line="276" w:lineRule="auto"/>
        <w:ind w:left="2160"/>
        <w:jc w:val="both"/>
        <w:rPr>
          <w:sz w:val="26"/>
          <w:szCs w:val="26"/>
        </w:rPr>
      </w:pPr>
      <w:r>
        <w:rPr>
          <w:sz w:val="26"/>
          <w:szCs w:val="26"/>
        </w:rPr>
        <w:t>“</w:t>
      </w:r>
      <w:r w:rsidRPr="00FC157E">
        <w:rPr>
          <w:i/>
          <w:sz w:val="22"/>
          <w:szCs w:val="22"/>
        </w:rPr>
        <w:t>There is no introduction of a fresh cause of action but only a clarification of a step in the proceedings ……..”</w:t>
      </w:r>
    </w:p>
    <w:p w:rsidR="00545E30" w:rsidRDefault="00545E30" w:rsidP="0098541D">
      <w:pPr>
        <w:spacing w:line="360" w:lineRule="auto"/>
        <w:ind w:left="1440" w:hanging="1440"/>
        <w:jc w:val="both"/>
        <w:rPr>
          <w:sz w:val="26"/>
          <w:szCs w:val="26"/>
        </w:rPr>
      </w:pPr>
    </w:p>
    <w:p w:rsidR="00FC157E" w:rsidRDefault="00FC157E" w:rsidP="0098541D">
      <w:pPr>
        <w:spacing w:line="360" w:lineRule="auto"/>
        <w:ind w:left="1440" w:hanging="1440"/>
        <w:jc w:val="both"/>
        <w:rPr>
          <w:sz w:val="26"/>
          <w:szCs w:val="26"/>
        </w:rPr>
      </w:pPr>
      <w:r>
        <w:rPr>
          <w:sz w:val="26"/>
          <w:szCs w:val="26"/>
        </w:rPr>
        <w:tab/>
        <w:t>He then summed up:</w:t>
      </w:r>
    </w:p>
    <w:p w:rsidR="00FC157E" w:rsidRDefault="00FC157E" w:rsidP="0098541D">
      <w:pPr>
        <w:spacing w:line="360" w:lineRule="auto"/>
        <w:ind w:left="1440" w:hanging="1440"/>
        <w:jc w:val="both"/>
        <w:rPr>
          <w:sz w:val="26"/>
          <w:szCs w:val="26"/>
        </w:rPr>
      </w:pPr>
    </w:p>
    <w:p w:rsidR="00FC157E" w:rsidRDefault="00FC157E" w:rsidP="0066122C">
      <w:pPr>
        <w:spacing w:line="276" w:lineRule="auto"/>
        <w:ind w:left="2160"/>
        <w:jc w:val="both"/>
        <w:rPr>
          <w:sz w:val="26"/>
          <w:szCs w:val="26"/>
        </w:rPr>
      </w:pPr>
      <w:r w:rsidRPr="0066122C">
        <w:rPr>
          <w:i/>
          <w:sz w:val="22"/>
          <w:szCs w:val="22"/>
        </w:rPr>
        <w:t>“In the present case the appellant was fully informed in the petition</w:t>
      </w:r>
      <w:r w:rsidR="0066122C" w:rsidRPr="0066122C">
        <w:rPr>
          <w:i/>
          <w:sz w:val="22"/>
          <w:szCs w:val="22"/>
        </w:rPr>
        <w:t xml:space="preserve"> served on it ….of every material feature of the case that was being brought against it and in actual fact could not have been in doubt from the time the summons was served as to the nature of the action.</w:t>
      </w:r>
      <w:r w:rsidR="0066122C">
        <w:rPr>
          <w:sz w:val="26"/>
          <w:szCs w:val="26"/>
        </w:rPr>
        <w:t>”</w:t>
      </w:r>
    </w:p>
    <w:p w:rsidR="0066122C" w:rsidRDefault="0066122C" w:rsidP="0098541D">
      <w:pPr>
        <w:spacing w:line="360" w:lineRule="auto"/>
        <w:ind w:left="1440" w:hanging="1440"/>
        <w:jc w:val="both"/>
        <w:rPr>
          <w:sz w:val="26"/>
          <w:szCs w:val="26"/>
        </w:rPr>
      </w:pPr>
    </w:p>
    <w:p w:rsidR="0066122C" w:rsidRDefault="0066122C" w:rsidP="0098541D">
      <w:pPr>
        <w:spacing w:line="360" w:lineRule="auto"/>
        <w:ind w:left="1440" w:hanging="1440"/>
        <w:jc w:val="both"/>
        <w:rPr>
          <w:sz w:val="26"/>
          <w:szCs w:val="26"/>
        </w:rPr>
      </w:pPr>
      <w:r>
        <w:rPr>
          <w:sz w:val="26"/>
          <w:szCs w:val="26"/>
        </w:rPr>
        <w:lastRenderedPageBreak/>
        <w:tab/>
        <w:t>Applying this same analytical approach to the present case</w:t>
      </w:r>
      <w:r w:rsidR="00275C02">
        <w:rPr>
          <w:sz w:val="26"/>
          <w:szCs w:val="26"/>
        </w:rPr>
        <w:t xml:space="preserve">, </w:t>
      </w:r>
      <w:r w:rsidR="0053582B">
        <w:rPr>
          <w:sz w:val="26"/>
          <w:szCs w:val="26"/>
        </w:rPr>
        <w:t>the question still remains, “</w:t>
      </w:r>
      <w:r w:rsidR="00275C02">
        <w:rPr>
          <w:sz w:val="26"/>
          <w:szCs w:val="26"/>
        </w:rPr>
        <w:t>W</w:t>
      </w:r>
      <w:r>
        <w:rPr>
          <w:sz w:val="26"/>
          <w:szCs w:val="26"/>
        </w:rPr>
        <w:t xml:space="preserve">hat of the </w:t>
      </w:r>
      <w:r w:rsidR="00063ABB">
        <w:rPr>
          <w:sz w:val="26"/>
          <w:szCs w:val="26"/>
        </w:rPr>
        <w:t>n</w:t>
      </w:r>
      <w:r>
        <w:rPr>
          <w:sz w:val="26"/>
          <w:szCs w:val="26"/>
        </w:rPr>
        <w:t xml:space="preserve">otice </w:t>
      </w:r>
      <w:r w:rsidRPr="0066122C">
        <w:rPr>
          <w:i/>
          <w:sz w:val="26"/>
          <w:szCs w:val="26"/>
        </w:rPr>
        <w:t xml:space="preserve">in </w:t>
      </w:r>
      <w:proofErr w:type="spellStart"/>
      <w:r w:rsidRPr="0066122C">
        <w:rPr>
          <w:i/>
          <w:sz w:val="26"/>
          <w:szCs w:val="26"/>
        </w:rPr>
        <w:t>casu</w:t>
      </w:r>
      <w:proofErr w:type="spellEnd"/>
      <w:r>
        <w:rPr>
          <w:sz w:val="26"/>
          <w:szCs w:val="26"/>
        </w:rPr>
        <w:t>?</w:t>
      </w:r>
      <w:r w:rsidR="0053582B">
        <w:rPr>
          <w:sz w:val="26"/>
          <w:szCs w:val="26"/>
        </w:rPr>
        <w:t>”</w:t>
      </w:r>
    </w:p>
    <w:p w:rsidR="0066122C" w:rsidRDefault="0066122C" w:rsidP="0098541D">
      <w:pPr>
        <w:spacing w:line="360" w:lineRule="auto"/>
        <w:ind w:left="1440" w:hanging="1440"/>
        <w:jc w:val="both"/>
        <w:rPr>
          <w:sz w:val="26"/>
          <w:szCs w:val="26"/>
        </w:rPr>
      </w:pPr>
    </w:p>
    <w:p w:rsidR="00545E30" w:rsidRDefault="00FC157E" w:rsidP="00125F32">
      <w:pPr>
        <w:spacing w:line="360" w:lineRule="auto"/>
        <w:ind w:left="1440" w:hanging="1440"/>
        <w:jc w:val="both"/>
        <w:rPr>
          <w:sz w:val="26"/>
          <w:szCs w:val="26"/>
        </w:rPr>
      </w:pPr>
      <w:r>
        <w:rPr>
          <w:sz w:val="26"/>
          <w:szCs w:val="26"/>
        </w:rPr>
        <w:t>[1</w:t>
      </w:r>
      <w:r w:rsidR="00C24728">
        <w:rPr>
          <w:sz w:val="26"/>
          <w:szCs w:val="26"/>
        </w:rPr>
        <w:t>1</w:t>
      </w:r>
      <w:r w:rsidR="00837C68">
        <w:rPr>
          <w:sz w:val="26"/>
          <w:szCs w:val="26"/>
        </w:rPr>
        <w:t>]</w:t>
      </w:r>
      <w:r w:rsidR="00837C68">
        <w:rPr>
          <w:sz w:val="26"/>
          <w:szCs w:val="26"/>
        </w:rPr>
        <w:tab/>
      </w:r>
      <w:r w:rsidR="0066122C">
        <w:rPr>
          <w:sz w:val="26"/>
          <w:szCs w:val="26"/>
        </w:rPr>
        <w:t>The notice does not read; Notice in terms of Rule 41 or Notice of abandonment</w:t>
      </w:r>
      <w:r w:rsidR="00CB2BAA">
        <w:rPr>
          <w:sz w:val="26"/>
          <w:szCs w:val="26"/>
        </w:rPr>
        <w:t>.</w:t>
      </w:r>
      <w:r w:rsidR="00B84627">
        <w:rPr>
          <w:sz w:val="26"/>
          <w:szCs w:val="26"/>
        </w:rPr>
        <w:t xml:space="preserve"> </w:t>
      </w:r>
      <w:r w:rsidR="0066122C">
        <w:rPr>
          <w:sz w:val="26"/>
          <w:szCs w:val="26"/>
        </w:rPr>
        <w:t xml:space="preserve">It must be born in mind that there is no rule of thump that the Notice should read so.  It is sufficient as can be deduced from </w:t>
      </w:r>
      <w:proofErr w:type="spellStart"/>
      <w:r w:rsidR="0066122C" w:rsidRPr="00CB2BAA">
        <w:rPr>
          <w:b/>
          <w:sz w:val="26"/>
          <w:szCs w:val="26"/>
        </w:rPr>
        <w:t>Maluleka’s</w:t>
      </w:r>
      <w:proofErr w:type="spellEnd"/>
      <w:r w:rsidR="0066122C">
        <w:rPr>
          <w:sz w:val="26"/>
          <w:szCs w:val="26"/>
        </w:rPr>
        <w:t xml:space="preserve"> case </w:t>
      </w:r>
      <w:r w:rsidR="0066122C" w:rsidRPr="00CB2BAA">
        <w:rPr>
          <w:i/>
          <w:sz w:val="26"/>
          <w:szCs w:val="26"/>
        </w:rPr>
        <w:t>supra</w:t>
      </w:r>
      <w:r w:rsidR="0066122C">
        <w:rPr>
          <w:sz w:val="26"/>
          <w:szCs w:val="26"/>
        </w:rPr>
        <w:t>, that the other party is reasonably informed by the court process.</w:t>
      </w:r>
      <w:r w:rsidR="00B84627">
        <w:rPr>
          <w:sz w:val="26"/>
          <w:szCs w:val="26"/>
        </w:rPr>
        <w:t xml:space="preserve"> </w:t>
      </w:r>
      <w:r w:rsidR="00CB2BAA">
        <w:rPr>
          <w:sz w:val="26"/>
          <w:szCs w:val="26"/>
        </w:rPr>
        <w:t>Its body however succinctly and without any ambiguity</w:t>
      </w:r>
      <w:r w:rsidR="003B69B0">
        <w:rPr>
          <w:sz w:val="26"/>
          <w:szCs w:val="26"/>
        </w:rPr>
        <w:t>,</w:t>
      </w:r>
      <w:r w:rsidR="00CB2BAA">
        <w:rPr>
          <w:sz w:val="26"/>
          <w:szCs w:val="26"/>
        </w:rPr>
        <w:t xml:space="preserve"> informs the </w:t>
      </w:r>
      <w:r w:rsidR="003B69B0">
        <w:rPr>
          <w:sz w:val="26"/>
          <w:szCs w:val="26"/>
        </w:rPr>
        <w:t>d</w:t>
      </w:r>
      <w:r w:rsidR="00CB2BAA">
        <w:rPr>
          <w:sz w:val="26"/>
          <w:szCs w:val="26"/>
        </w:rPr>
        <w:t>e</w:t>
      </w:r>
      <w:r w:rsidR="003B69B0">
        <w:rPr>
          <w:sz w:val="26"/>
          <w:szCs w:val="26"/>
        </w:rPr>
        <w:t>fe</w:t>
      </w:r>
      <w:r w:rsidR="00CB2BAA">
        <w:rPr>
          <w:sz w:val="26"/>
          <w:szCs w:val="26"/>
        </w:rPr>
        <w:t>nd</w:t>
      </w:r>
      <w:r w:rsidR="003B69B0">
        <w:rPr>
          <w:sz w:val="26"/>
          <w:szCs w:val="26"/>
        </w:rPr>
        <w:t>a</w:t>
      </w:r>
      <w:r w:rsidR="00CB2BAA">
        <w:rPr>
          <w:sz w:val="26"/>
          <w:szCs w:val="26"/>
        </w:rPr>
        <w:t>nt that pl</w:t>
      </w:r>
      <w:r w:rsidR="003B69B0">
        <w:rPr>
          <w:sz w:val="26"/>
          <w:szCs w:val="26"/>
        </w:rPr>
        <w:t>a</w:t>
      </w:r>
      <w:r w:rsidR="00CB2BAA">
        <w:rPr>
          <w:sz w:val="26"/>
          <w:szCs w:val="26"/>
        </w:rPr>
        <w:t>int</w:t>
      </w:r>
      <w:r w:rsidR="003B69B0">
        <w:rPr>
          <w:sz w:val="26"/>
          <w:szCs w:val="26"/>
        </w:rPr>
        <w:t>iff</w:t>
      </w:r>
      <w:r w:rsidR="00CB2BAA">
        <w:rPr>
          <w:sz w:val="26"/>
          <w:szCs w:val="26"/>
        </w:rPr>
        <w:t xml:space="preserve"> is abandoning its application for summary judgment.  This was clearly conveyed to the defendant.  To demonstrate that the </w:t>
      </w:r>
      <w:r w:rsidR="00591D56">
        <w:rPr>
          <w:sz w:val="26"/>
          <w:szCs w:val="26"/>
        </w:rPr>
        <w:t xml:space="preserve">defendant understood the purpose of the Notice, on the hearing date defendant first demanded costs for abandonment.  In fact defendant accepted that plaintiff had abandoned its summary judgment application </w:t>
      </w:r>
      <w:r w:rsidR="00D02986">
        <w:rPr>
          <w:sz w:val="26"/>
          <w:szCs w:val="26"/>
        </w:rPr>
        <w:t>from this very notice that he seeks the court to have it set aside</w:t>
      </w:r>
      <w:r w:rsidR="00837C68">
        <w:rPr>
          <w:sz w:val="26"/>
          <w:szCs w:val="26"/>
        </w:rPr>
        <w:t>.</w:t>
      </w:r>
      <w:r w:rsidR="00B84627">
        <w:rPr>
          <w:sz w:val="26"/>
          <w:szCs w:val="26"/>
        </w:rPr>
        <w:t xml:space="preserve"> </w:t>
      </w:r>
      <w:r w:rsidR="00837C68">
        <w:rPr>
          <w:sz w:val="26"/>
          <w:szCs w:val="26"/>
        </w:rPr>
        <w:t xml:space="preserve">The application to have plaintiff meted out with cost for the </w:t>
      </w:r>
      <w:r w:rsidR="00063ABB">
        <w:rPr>
          <w:sz w:val="26"/>
          <w:szCs w:val="26"/>
        </w:rPr>
        <w:t>ab</w:t>
      </w:r>
      <w:r w:rsidR="00B84627">
        <w:rPr>
          <w:sz w:val="26"/>
          <w:szCs w:val="26"/>
        </w:rPr>
        <w:t>a</w:t>
      </w:r>
      <w:r w:rsidR="00063ABB">
        <w:rPr>
          <w:sz w:val="26"/>
          <w:szCs w:val="26"/>
        </w:rPr>
        <w:t>ndonment</w:t>
      </w:r>
      <w:r w:rsidR="00837C68">
        <w:rPr>
          <w:sz w:val="26"/>
          <w:szCs w:val="26"/>
        </w:rPr>
        <w:t xml:space="preserve"> was based on this very notice.  It is startling therefore for the defendant to move an application to have the very same notice set aside just because it has </w:t>
      </w:r>
      <w:r w:rsidR="00B84627">
        <w:rPr>
          <w:sz w:val="26"/>
          <w:szCs w:val="26"/>
        </w:rPr>
        <w:t xml:space="preserve">the heading: </w:t>
      </w:r>
      <w:r w:rsidR="00837C68">
        <w:rPr>
          <w:sz w:val="26"/>
          <w:szCs w:val="26"/>
        </w:rPr>
        <w:t>“</w:t>
      </w:r>
      <w:r w:rsidR="00B84627" w:rsidRPr="00B84627">
        <w:rPr>
          <w:i/>
          <w:sz w:val="26"/>
          <w:szCs w:val="26"/>
        </w:rPr>
        <w:t>Notice to give defendant leave to plea</w:t>
      </w:r>
      <w:r w:rsidR="00B84627">
        <w:rPr>
          <w:sz w:val="26"/>
          <w:szCs w:val="26"/>
        </w:rPr>
        <w:t>”</w:t>
      </w:r>
      <w:r w:rsidR="00837C68">
        <w:rPr>
          <w:sz w:val="26"/>
          <w:szCs w:val="26"/>
        </w:rPr>
        <w:t xml:space="preserve">                                             I</w:t>
      </w:r>
      <w:r w:rsidR="00D02986">
        <w:rPr>
          <w:sz w:val="26"/>
          <w:szCs w:val="26"/>
        </w:rPr>
        <w:t xml:space="preserve">t is </w:t>
      </w:r>
      <w:r w:rsidR="00591D56">
        <w:rPr>
          <w:sz w:val="26"/>
          <w:szCs w:val="26"/>
        </w:rPr>
        <w:t xml:space="preserve">well settled </w:t>
      </w:r>
      <w:r w:rsidR="00D02986">
        <w:rPr>
          <w:sz w:val="26"/>
          <w:szCs w:val="26"/>
        </w:rPr>
        <w:t xml:space="preserve">that </w:t>
      </w:r>
      <w:r w:rsidR="00837C68">
        <w:rPr>
          <w:sz w:val="26"/>
          <w:szCs w:val="26"/>
        </w:rPr>
        <w:t>c</w:t>
      </w:r>
      <w:r w:rsidR="00591D56">
        <w:rPr>
          <w:sz w:val="26"/>
          <w:szCs w:val="26"/>
        </w:rPr>
        <w:t>ourts of law frown upon litigants who approbate and reprobate at the same time.</w:t>
      </w:r>
    </w:p>
    <w:p w:rsidR="00545E30" w:rsidRDefault="00545E30" w:rsidP="0098541D">
      <w:pPr>
        <w:spacing w:line="360" w:lineRule="auto"/>
        <w:ind w:left="1440" w:hanging="1440"/>
        <w:jc w:val="both"/>
        <w:rPr>
          <w:sz w:val="26"/>
          <w:szCs w:val="26"/>
        </w:rPr>
      </w:pPr>
    </w:p>
    <w:p w:rsidR="00545E30" w:rsidRDefault="00137371" w:rsidP="0098541D">
      <w:pPr>
        <w:spacing w:line="360" w:lineRule="auto"/>
        <w:ind w:left="1440" w:hanging="1440"/>
        <w:jc w:val="both"/>
        <w:rPr>
          <w:sz w:val="26"/>
          <w:szCs w:val="26"/>
        </w:rPr>
      </w:pPr>
      <w:r>
        <w:rPr>
          <w:sz w:val="26"/>
          <w:szCs w:val="26"/>
        </w:rPr>
        <w:t>[1</w:t>
      </w:r>
      <w:r w:rsidR="00C24728">
        <w:rPr>
          <w:sz w:val="26"/>
          <w:szCs w:val="26"/>
        </w:rPr>
        <w:t>2</w:t>
      </w:r>
      <w:r>
        <w:rPr>
          <w:sz w:val="26"/>
          <w:szCs w:val="26"/>
        </w:rPr>
        <w:t>]</w:t>
      </w:r>
      <w:r>
        <w:rPr>
          <w:sz w:val="26"/>
          <w:szCs w:val="26"/>
        </w:rPr>
        <w:tab/>
        <w:t>Defendant seems to take an issue on the second part of the notice</w:t>
      </w:r>
      <w:r w:rsidR="00B84627">
        <w:rPr>
          <w:sz w:val="26"/>
          <w:szCs w:val="26"/>
        </w:rPr>
        <w:t>,</w:t>
      </w:r>
      <w:r>
        <w:rPr>
          <w:sz w:val="26"/>
          <w:szCs w:val="26"/>
        </w:rPr>
        <w:t xml:space="preserve"> mainly that it grants </w:t>
      </w:r>
      <w:r w:rsidR="005D0603">
        <w:rPr>
          <w:sz w:val="26"/>
          <w:szCs w:val="26"/>
        </w:rPr>
        <w:t>defendant leave to file its plea.</w:t>
      </w:r>
      <w:r w:rsidR="00B84627">
        <w:rPr>
          <w:sz w:val="26"/>
          <w:szCs w:val="26"/>
        </w:rPr>
        <w:t xml:space="preserve">  </w:t>
      </w:r>
      <w:r w:rsidR="005D0603">
        <w:rPr>
          <w:sz w:val="26"/>
          <w:szCs w:val="26"/>
        </w:rPr>
        <w:t xml:space="preserve">I must highlight from the onset that on the day of hearing the </w:t>
      </w:r>
      <w:r w:rsidR="002F1585">
        <w:rPr>
          <w:sz w:val="26"/>
          <w:szCs w:val="26"/>
        </w:rPr>
        <w:t>defendant</w:t>
      </w:r>
      <w:r w:rsidR="006B118F">
        <w:rPr>
          <w:sz w:val="26"/>
          <w:szCs w:val="26"/>
        </w:rPr>
        <w:t>’s</w:t>
      </w:r>
      <w:r w:rsidR="002F1585">
        <w:rPr>
          <w:sz w:val="26"/>
          <w:szCs w:val="26"/>
        </w:rPr>
        <w:t xml:space="preserve"> Rule 30 application, defendant</w:t>
      </w:r>
      <w:r w:rsidR="00DF0BAA">
        <w:rPr>
          <w:sz w:val="26"/>
          <w:szCs w:val="26"/>
        </w:rPr>
        <w:t>’s Counsel</w:t>
      </w:r>
      <w:r w:rsidR="002F1585">
        <w:rPr>
          <w:sz w:val="26"/>
          <w:szCs w:val="26"/>
        </w:rPr>
        <w:t xml:space="preserve"> stood up to apply for leave to file its plea.  It is therefore not clear how defendant could have taken an objection on something that </w:t>
      </w:r>
      <w:r w:rsidR="00063ABB">
        <w:rPr>
          <w:sz w:val="26"/>
          <w:szCs w:val="26"/>
        </w:rPr>
        <w:t>he</w:t>
      </w:r>
      <w:r w:rsidR="00D02986">
        <w:rPr>
          <w:sz w:val="26"/>
          <w:szCs w:val="26"/>
        </w:rPr>
        <w:t xml:space="preserve"> wanted </w:t>
      </w:r>
      <w:r w:rsidR="00063ABB">
        <w:rPr>
          <w:sz w:val="26"/>
          <w:szCs w:val="26"/>
        </w:rPr>
        <w:t>himself</w:t>
      </w:r>
      <w:r w:rsidR="002F1585">
        <w:rPr>
          <w:sz w:val="26"/>
          <w:szCs w:val="26"/>
        </w:rPr>
        <w:t xml:space="preserve">.  In other words, when plaintiff proceeded to </w:t>
      </w:r>
      <w:r w:rsidR="00D02986">
        <w:rPr>
          <w:sz w:val="26"/>
          <w:szCs w:val="26"/>
        </w:rPr>
        <w:t>in</w:t>
      </w:r>
      <w:r w:rsidR="002F1585">
        <w:rPr>
          <w:sz w:val="26"/>
          <w:szCs w:val="26"/>
        </w:rPr>
        <w:t>scribe “</w:t>
      </w:r>
      <w:r w:rsidR="002F1585" w:rsidRPr="000E7D55">
        <w:rPr>
          <w:i/>
          <w:sz w:val="26"/>
          <w:szCs w:val="26"/>
        </w:rPr>
        <w:t>and grants the defendant</w:t>
      </w:r>
      <w:r w:rsidR="000E7D55" w:rsidRPr="000E7D55">
        <w:rPr>
          <w:i/>
          <w:sz w:val="26"/>
          <w:szCs w:val="26"/>
        </w:rPr>
        <w:t xml:space="preserve"> leave to file its PLEA </w:t>
      </w:r>
      <w:r w:rsidR="00B84627" w:rsidRPr="00837C68">
        <w:rPr>
          <w:i/>
          <w:sz w:val="26"/>
          <w:szCs w:val="26"/>
        </w:rPr>
        <w:t>within twenty one (21) days after receipt hereof</w:t>
      </w:r>
      <w:r w:rsidR="00B84627" w:rsidRPr="000E7D55">
        <w:rPr>
          <w:i/>
          <w:sz w:val="26"/>
          <w:szCs w:val="26"/>
        </w:rPr>
        <w:t xml:space="preserve"> </w:t>
      </w:r>
      <w:r w:rsidR="000E7D55" w:rsidRPr="000E7D55">
        <w:rPr>
          <w:i/>
          <w:sz w:val="26"/>
          <w:szCs w:val="26"/>
        </w:rPr>
        <w:t>…</w:t>
      </w:r>
      <w:proofErr w:type="gramStart"/>
      <w:r w:rsidR="000E7D55">
        <w:rPr>
          <w:sz w:val="26"/>
          <w:szCs w:val="26"/>
        </w:rPr>
        <w:t>”</w:t>
      </w:r>
      <w:r w:rsidR="00063ABB">
        <w:rPr>
          <w:sz w:val="26"/>
          <w:szCs w:val="26"/>
        </w:rPr>
        <w:t>,</w:t>
      </w:r>
      <w:proofErr w:type="gramEnd"/>
      <w:r w:rsidR="000E7D55">
        <w:rPr>
          <w:sz w:val="26"/>
          <w:szCs w:val="26"/>
        </w:rPr>
        <w:t xml:space="preserve"> a</w:t>
      </w:r>
      <w:r w:rsidR="005753A1">
        <w:rPr>
          <w:sz w:val="26"/>
          <w:szCs w:val="26"/>
        </w:rPr>
        <w:t xml:space="preserve">ll it was saying, was that </w:t>
      </w:r>
      <w:r w:rsidR="006B118F">
        <w:rPr>
          <w:sz w:val="26"/>
          <w:szCs w:val="26"/>
        </w:rPr>
        <w:t>“</w:t>
      </w:r>
      <w:r w:rsidR="005753A1" w:rsidRPr="00B84627">
        <w:rPr>
          <w:i/>
          <w:sz w:val="26"/>
          <w:szCs w:val="26"/>
        </w:rPr>
        <w:t>I, as plaintiff</w:t>
      </w:r>
      <w:r w:rsidR="006B118F" w:rsidRPr="00B84627">
        <w:rPr>
          <w:i/>
          <w:sz w:val="26"/>
          <w:szCs w:val="26"/>
        </w:rPr>
        <w:t>,</w:t>
      </w:r>
      <w:r w:rsidR="005753A1" w:rsidRPr="00B84627">
        <w:rPr>
          <w:i/>
          <w:sz w:val="26"/>
          <w:szCs w:val="26"/>
        </w:rPr>
        <w:t xml:space="preserve"> do not object </w:t>
      </w:r>
      <w:r w:rsidR="005753A1" w:rsidRPr="00B84627">
        <w:rPr>
          <w:i/>
          <w:sz w:val="26"/>
          <w:szCs w:val="26"/>
        </w:rPr>
        <w:lastRenderedPageBreak/>
        <w:t>to you filing a plea</w:t>
      </w:r>
      <w:r w:rsidR="00D02986" w:rsidRPr="00B84627">
        <w:rPr>
          <w:i/>
          <w:sz w:val="26"/>
          <w:szCs w:val="26"/>
        </w:rPr>
        <w:t>.P</w:t>
      </w:r>
      <w:r w:rsidR="005753A1" w:rsidRPr="00B84627">
        <w:rPr>
          <w:i/>
          <w:sz w:val="26"/>
          <w:szCs w:val="26"/>
        </w:rPr>
        <w:t xml:space="preserve">lease go ahead and file it within the </w:t>
      </w:r>
      <w:r w:rsidR="00BA552D" w:rsidRPr="00B84627">
        <w:rPr>
          <w:i/>
          <w:sz w:val="26"/>
          <w:szCs w:val="26"/>
        </w:rPr>
        <w:t>s</w:t>
      </w:r>
      <w:r w:rsidR="005753A1" w:rsidRPr="00B84627">
        <w:rPr>
          <w:i/>
          <w:sz w:val="26"/>
          <w:szCs w:val="26"/>
        </w:rPr>
        <w:t>tip</w:t>
      </w:r>
      <w:r w:rsidR="00BA552D" w:rsidRPr="00B84627">
        <w:rPr>
          <w:i/>
          <w:sz w:val="26"/>
          <w:szCs w:val="26"/>
        </w:rPr>
        <w:t>ula</w:t>
      </w:r>
      <w:r w:rsidR="005753A1" w:rsidRPr="00B84627">
        <w:rPr>
          <w:i/>
          <w:sz w:val="26"/>
          <w:szCs w:val="26"/>
        </w:rPr>
        <w:t>ted period</w:t>
      </w:r>
      <w:r w:rsidR="006B118F" w:rsidRPr="00D02986">
        <w:rPr>
          <w:sz w:val="26"/>
          <w:szCs w:val="26"/>
        </w:rPr>
        <w:t>”</w:t>
      </w:r>
      <w:r w:rsidR="005753A1" w:rsidRPr="00D02986">
        <w:rPr>
          <w:sz w:val="26"/>
          <w:szCs w:val="26"/>
        </w:rPr>
        <w:t>.</w:t>
      </w:r>
      <w:r w:rsidR="00C27C69">
        <w:rPr>
          <w:sz w:val="26"/>
          <w:szCs w:val="26"/>
        </w:rPr>
        <w:t xml:space="preserve">  It is not clear </w:t>
      </w:r>
      <w:r w:rsidR="00FD0AB6">
        <w:rPr>
          <w:sz w:val="26"/>
          <w:szCs w:val="26"/>
        </w:rPr>
        <w:t>why defendant refused to accept its right to file a plea given to it on a silver platter</w:t>
      </w:r>
      <w:r w:rsidR="00DF0BAA">
        <w:rPr>
          <w:sz w:val="26"/>
          <w:szCs w:val="26"/>
        </w:rPr>
        <w:t xml:space="preserve"> but preferred to come to court for the same right thereby incurring unnecessary costs</w:t>
      </w:r>
      <w:r w:rsidR="00FD0AB6">
        <w:rPr>
          <w:sz w:val="26"/>
          <w:szCs w:val="26"/>
        </w:rPr>
        <w:t>.  There is nothing amiss in our law</w:t>
      </w:r>
      <w:r w:rsidR="00B84627">
        <w:rPr>
          <w:sz w:val="26"/>
          <w:szCs w:val="26"/>
        </w:rPr>
        <w:t xml:space="preserve"> </w:t>
      </w:r>
      <w:r w:rsidR="00837C68">
        <w:rPr>
          <w:sz w:val="26"/>
          <w:szCs w:val="26"/>
        </w:rPr>
        <w:t xml:space="preserve">by litigants </w:t>
      </w:r>
      <w:r w:rsidR="00636706">
        <w:rPr>
          <w:sz w:val="26"/>
          <w:szCs w:val="26"/>
        </w:rPr>
        <w:t xml:space="preserve">settling matters out of court.  This happens almost on daily basis.  It appears to me </w:t>
      </w:r>
      <w:r w:rsidR="00837C68">
        <w:rPr>
          <w:sz w:val="26"/>
          <w:szCs w:val="26"/>
        </w:rPr>
        <w:t xml:space="preserve">that </w:t>
      </w:r>
      <w:r w:rsidR="00636706">
        <w:rPr>
          <w:sz w:val="26"/>
          <w:szCs w:val="26"/>
        </w:rPr>
        <w:t xml:space="preserve">a good litigant would curtail proceedings and thereby mitigate legal costs as was done by plaintiff </w:t>
      </w:r>
      <w:r w:rsidR="00636706" w:rsidRPr="00636706">
        <w:rPr>
          <w:i/>
          <w:sz w:val="26"/>
          <w:szCs w:val="26"/>
        </w:rPr>
        <w:t xml:space="preserve">in </w:t>
      </w:r>
      <w:proofErr w:type="spellStart"/>
      <w:r w:rsidR="00636706" w:rsidRPr="00636706">
        <w:rPr>
          <w:i/>
          <w:sz w:val="26"/>
          <w:szCs w:val="26"/>
        </w:rPr>
        <w:t>casu</w:t>
      </w:r>
      <w:proofErr w:type="spellEnd"/>
      <w:r w:rsidR="00636706">
        <w:rPr>
          <w:sz w:val="26"/>
          <w:szCs w:val="26"/>
        </w:rPr>
        <w:t>.</w:t>
      </w:r>
      <w:r w:rsidR="00D02986">
        <w:rPr>
          <w:sz w:val="26"/>
          <w:szCs w:val="26"/>
        </w:rPr>
        <w:t xml:space="preserve">  These circumstances of the case clearly point out to me that there is not an iota of prejudice that can reasonably </w:t>
      </w:r>
      <w:r w:rsidR="00063ABB">
        <w:rPr>
          <w:sz w:val="26"/>
          <w:szCs w:val="26"/>
        </w:rPr>
        <w:t xml:space="preserve">be </w:t>
      </w:r>
      <w:r w:rsidR="00D02986">
        <w:rPr>
          <w:sz w:val="26"/>
          <w:szCs w:val="26"/>
        </w:rPr>
        <w:t xml:space="preserve">inferred that the defendant </w:t>
      </w:r>
      <w:r w:rsidR="00837C68">
        <w:rPr>
          <w:sz w:val="26"/>
          <w:szCs w:val="26"/>
        </w:rPr>
        <w:t>was likely to</w:t>
      </w:r>
      <w:r w:rsidR="00D02986">
        <w:rPr>
          <w:sz w:val="26"/>
          <w:szCs w:val="26"/>
        </w:rPr>
        <w:t xml:space="preserve"> suffer as a result of </w:t>
      </w:r>
      <w:proofErr w:type="gramStart"/>
      <w:r w:rsidR="00D02986">
        <w:rPr>
          <w:sz w:val="26"/>
          <w:szCs w:val="26"/>
        </w:rPr>
        <w:t xml:space="preserve">plaintiff </w:t>
      </w:r>
      <w:r w:rsidR="00B84627">
        <w:rPr>
          <w:sz w:val="26"/>
          <w:szCs w:val="26"/>
        </w:rPr>
        <w:t xml:space="preserve"> </w:t>
      </w:r>
      <w:r w:rsidR="00D02986">
        <w:rPr>
          <w:sz w:val="26"/>
          <w:szCs w:val="26"/>
        </w:rPr>
        <w:t>filing</w:t>
      </w:r>
      <w:proofErr w:type="gramEnd"/>
      <w:r w:rsidR="00D02986">
        <w:rPr>
          <w:sz w:val="26"/>
          <w:szCs w:val="26"/>
        </w:rPr>
        <w:t xml:space="preserve"> the “</w:t>
      </w:r>
      <w:r w:rsidR="00D02986" w:rsidRPr="003C688A">
        <w:rPr>
          <w:i/>
          <w:sz w:val="26"/>
          <w:szCs w:val="26"/>
        </w:rPr>
        <w:t>Notice to give defendant leave to file a plea</w:t>
      </w:r>
      <w:r w:rsidR="00D02986">
        <w:rPr>
          <w:i/>
          <w:sz w:val="26"/>
          <w:szCs w:val="26"/>
        </w:rPr>
        <w:t>”.</w:t>
      </w:r>
    </w:p>
    <w:p w:rsidR="00636706" w:rsidRDefault="00636706" w:rsidP="0098541D">
      <w:pPr>
        <w:spacing w:line="360" w:lineRule="auto"/>
        <w:ind w:left="1440" w:hanging="1440"/>
        <w:jc w:val="both"/>
        <w:rPr>
          <w:sz w:val="26"/>
          <w:szCs w:val="26"/>
        </w:rPr>
      </w:pPr>
    </w:p>
    <w:p w:rsidR="00636706" w:rsidRDefault="00636706" w:rsidP="0098541D">
      <w:pPr>
        <w:spacing w:line="360" w:lineRule="auto"/>
        <w:ind w:left="1440" w:hanging="1440"/>
        <w:jc w:val="both"/>
        <w:rPr>
          <w:sz w:val="26"/>
          <w:szCs w:val="26"/>
        </w:rPr>
      </w:pPr>
      <w:r>
        <w:rPr>
          <w:sz w:val="26"/>
          <w:szCs w:val="26"/>
        </w:rPr>
        <w:t>[1</w:t>
      </w:r>
      <w:r w:rsidR="00C24728">
        <w:rPr>
          <w:sz w:val="26"/>
          <w:szCs w:val="26"/>
        </w:rPr>
        <w:t>3</w:t>
      </w:r>
      <w:r>
        <w:rPr>
          <w:sz w:val="26"/>
          <w:szCs w:val="26"/>
        </w:rPr>
        <w:t>]</w:t>
      </w:r>
      <w:r>
        <w:rPr>
          <w:sz w:val="26"/>
          <w:szCs w:val="26"/>
        </w:rPr>
        <w:tab/>
        <w:t>For the foregoing</w:t>
      </w:r>
      <w:r w:rsidR="00D02986">
        <w:rPr>
          <w:sz w:val="26"/>
          <w:szCs w:val="26"/>
        </w:rPr>
        <w:t>,</w:t>
      </w:r>
      <w:r>
        <w:rPr>
          <w:sz w:val="26"/>
          <w:szCs w:val="26"/>
        </w:rPr>
        <w:t xml:space="preserve"> the application filed by defendant under Rule 30 is without merit</w:t>
      </w:r>
      <w:r w:rsidR="00B84627">
        <w:rPr>
          <w:sz w:val="26"/>
          <w:szCs w:val="26"/>
        </w:rPr>
        <w:t xml:space="preserve"> </w:t>
      </w:r>
      <w:r w:rsidR="006B118F">
        <w:rPr>
          <w:sz w:val="26"/>
          <w:szCs w:val="26"/>
        </w:rPr>
        <w:t>and</w:t>
      </w:r>
      <w:r w:rsidR="00B84627">
        <w:rPr>
          <w:sz w:val="26"/>
          <w:szCs w:val="26"/>
        </w:rPr>
        <w:t xml:space="preserve"> </w:t>
      </w:r>
      <w:r w:rsidR="00286B32">
        <w:rPr>
          <w:sz w:val="26"/>
          <w:szCs w:val="26"/>
        </w:rPr>
        <w:t>I therefore enter the following order</w:t>
      </w:r>
      <w:r>
        <w:rPr>
          <w:sz w:val="26"/>
          <w:szCs w:val="26"/>
        </w:rPr>
        <w:t>s</w:t>
      </w:r>
      <w:r w:rsidR="00286B32">
        <w:rPr>
          <w:sz w:val="26"/>
          <w:szCs w:val="26"/>
        </w:rPr>
        <w:t>:</w:t>
      </w:r>
    </w:p>
    <w:p w:rsidR="004553E1" w:rsidRDefault="004553E1" w:rsidP="0098541D">
      <w:pPr>
        <w:spacing w:line="360" w:lineRule="auto"/>
        <w:ind w:left="1440" w:hanging="1440"/>
        <w:jc w:val="both"/>
        <w:rPr>
          <w:sz w:val="26"/>
          <w:szCs w:val="26"/>
        </w:rPr>
      </w:pPr>
    </w:p>
    <w:p w:rsidR="004553E1" w:rsidRDefault="004553E1" w:rsidP="004553E1">
      <w:pPr>
        <w:pStyle w:val="ListParagraph"/>
        <w:numPr>
          <w:ilvl w:val="0"/>
          <w:numId w:val="1"/>
        </w:numPr>
        <w:spacing w:line="360" w:lineRule="auto"/>
        <w:ind w:left="1985" w:hanging="545"/>
        <w:jc w:val="both"/>
        <w:rPr>
          <w:sz w:val="26"/>
          <w:szCs w:val="26"/>
        </w:rPr>
      </w:pPr>
      <w:r>
        <w:rPr>
          <w:sz w:val="26"/>
          <w:szCs w:val="26"/>
        </w:rPr>
        <w:t>Defendant’s application under Rule 30 is hereby dismissed.</w:t>
      </w:r>
    </w:p>
    <w:p w:rsidR="004553E1" w:rsidRPr="004553E1" w:rsidRDefault="004553E1" w:rsidP="004553E1">
      <w:pPr>
        <w:pStyle w:val="ListParagraph"/>
        <w:numPr>
          <w:ilvl w:val="0"/>
          <w:numId w:val="1"/>
        </w:numPr>
        <w:spacing w:line="360" w:lineRule="auto"/>
        <w:ind w:left="1985" w:hanging="545"/>
        <w:jc w:val="both"/>
        <w:rPr>
          <w:sz w:val="26"/>
          <w:szCs w:val="26"/>
        </w:rPr>
      </w:pPr>
      <w:r>
        <w:rPr>
          <w:sz w:val="26"/>
          <w:szCs w:val="26"/>
        </w:rPr>
        <w:t>Defendant is ordered to pay costs for the said Rule 30 application.</w:t>
      </w:r>
    </w:p>
    <w:p w:rsidR="00545E30" w:rsidRDefault="00545E30" w:rsidP="0098541D">
      <w:pPr>
        <w:spacing w:line="360" w:lineRule="auto"/>
        <w:ind w:left="1440" w:hanging="1440"/>
        <w:jc w:val="both"/>
        <w:rPr>
          <w:sz w:val="26"/>
          <w:szCs w:val="26"/>
        </w:rPr>
      </w:pPr>
    </w:p>
    <w:p w:rsidR="004553E1" w:rsidRDefault="004553E1" w:rsidP="00545E30">
      <w:pPr>
        <w:spacing w:line="360" w:lineRule="auto"/>
        <w:ind w:left="1440" w:hanging="1440"/>
        <w:jc w:val="center"/>
        <w:rPr>
          <w:sz w:val="26"/>
          <w:szCs w:val="26"/>
        </w:rPr>
      </w:pPr>
    </w:p>
    <w:p w:rsidR="004553E1" w:rsidRDefault="004553E1" w:rsidP="00545E30">
      <w:pPr>
        <w:spacing w:line="360" w:lineRule="auto"/>
        <w:ind w:left="1440" w:hanging="1440"/>
        <w:jc w:val="center"/>
        <w:rPr>
          <w:sz w:val="26"/>
          <w:szCs w:val="26"/>
        </w:rPr>
      </w:pPr>
    </w:p>
    <w:p w:rsidR="00545E30" w:rsidRDefault="00545E30" w:rsidP="00545E30">
      <w:pPr>
        <w:spacing w:line="360" w:lineRule="auto"/>
        <w:ind w:left="1440" w:hanging="1440"/>
        <w:jc w:val="center"/>
        <w:rPr>
          <w:sz w:val="26"/>
          <w:szCs w:val="26"/>
        </w:rPr>
      </w:pPr>
      <w:r>
        <w:rPr>
          <w:sz w:val="26"/>
          <w:szCs w:val="26"/>
        </w:rPr>
        <w:t>__________________</w:t>
      </w:r>
    </w:p>
    <w:p w:rsidR="00545E30" w:rsidRPr="00545E30" w:rsidRDefault="00545E30" w:rsidP="00545E30">
      <w:pPr>
        <w:ind w:left="1440" w:hanging="1440"/>
        <w:jc w:val="center"/>
        <w:rPr>
          <w:b/>
          <w:sz w:val="26"/>
          <w:szCs w:val="26"/>
        </w:rPr>
      </w:pPr>
      <w:r w:rsidRPr="00545E30">
        <w:rPr>
          <w:b/>
          <w:sz w:val="26"/>
          <w:szCs w:val="26"/>
        </w:rPr>
        <w:t>M. DLAMINI</w:t>
      </w:r>
    </w:p>
    <w:p w:rsidR="00545E30" w:rsidRPr="00545E30" w:rsidRDefault="00545E30" w:rsidP="00545E30">
      <w:pPr>
        <w:ind w:left="1440" w:hanging="1440"/>
        <w:jc w:val="center"/>
        <w:rPr>
          <w:b/>
          <w:sz w:val="26"/>
          <w:szCs w:val="26"/>
        </w:rPr>
      </w:pPr>
      <w:r w:rsidRPr="00545E30">
        <w:rPr>
          <w:b/>
          <w:sz w:val="26"/>
          <w:szCs w:val="26"/>
        </w:rPr>
        <w:t>JUDGE</w:t>
      </w:r>
    </w:p>
    <w:p w:rsidR="0098541D" w:rsidRDefault="0098541D" w:rsidP="0098541D">
      <w:pPr>
        <w:spacing w:line="360" w:lineRule="auto"/>
        <w:ind w:left="1440" w:hanging="1440"/>
        <w:jc w:val="both"/>
        <w:rPr>
          <w:sz w:val="26"/>
          <w:szCs w:val="26"/>
        </w:rPr>
      </w:pPr>
    </w:p>
    <w:p w:rsidR="00545E30" w:rsidRPr="00545E30" w:rsidRDefault="00545E30" w:rsidP="0098541D">
      <w:pPr>
        <w:spacing w:line="360" w:lineRule="auto"/>
        <w:ind w:left="1440" w:hanging="1440"/>
        <w:jc w:val="both"/>
        <w:rPr>
          <w:b/>
          <w:sz w:val="26"/>
          <w:szCs w:val="26"/>
        </w:rPr>
      </w:pPr>
      <w:r w:rsidRPr="00545E30">
        <w:rPr>
          <w:b/>
          <w:sz w:val="26"/>
          <w:szCs w:val="26"/>
        </w:rPr>
        <w:t>For the Plaintiff</w:t>
      </w:r>
      <w:r w:rsidRPr="00545E30">
        <w:rPr>
          <w:b/>
          <w:sz w:val="26"/>
          <w:szCs w:val="26"/>
        </w:rPr>
        <w:tab/>
        <w:t>:</w:t>
      </w:r>
      <w:r w:rsidRPr="00545E30">
        <w:rPr>
          <w:b/>
          <w:sz w:val="26"/>
          <w:szCs w:val="26"/>
        </w:rPr>
        <w:tab/>
        <w:t>K. Simelane</w:t>
      </w:r>
      <w:r w:rsidR="00830B08">
        <w:rPr>
          <w:b/>
          <w:sz w:val="26"/>
          <w:szCs w:val="26"/>
        </w:rPr>
        <w:t xml:space="preserve"> of </w:t>
      </w:r>
      <w:proofErr w:type="spellStart"/>
      <w:r w:rsidR="00830B08">
        <w:rPr>
          <w:b/>
          <w:sz w:val="26"/>
          <w:szCs w:val="26"/>
        </w:rPr>
        <w:t>Cloete</w:t>
      </w:r>
      <w:proofErr w:type="spellEnd"/>
      <w:r w:rsidR="0076177E">
        <w:rPr>
          <w:b/>
          <w:sz w:val="26"/>
          <w:szCs w:val="26"/>
        </w:rPr>
        <w:t xml:space="preserve"> </w:t>
      </w:r>
      <w:r w:rsidR="00830B08">
        <w:rPr>
          <w:b/>
          <w:sz w:val="26"/>
          <w:szCs w:val="26"/>
        </w:rPr>
        <w:t>/</w:t>
      </w:r>
      <w:r w:rsidR="0076177E">
        <w:rPr>
          <w:b/>
          <w:sz w:val="26"/>
          <w:szCs w:val="26"/>
        </w:rPr>
        <w:t xml:space="preserve"> </w:t>
      </w:r>
      <w:proofErr w:type="spellStart"/>
      <w:r w:rsidR="00830B08">
        <w:rPr>
          <w:b/>
          <w:sz w:val="26"/>
          <w:szCs w:val="26"/>
        </w:rPr>
        <w:t>Henwood</w:t>
      </w:r>
      <w:proofErr w:type="spellEnd"/>
      <w:r w:rsidR="00830B08">
        <w:rPr>
          <w:b/>
          <w:sz w:val="26"/>
          <w:szCs w:val="26"/>
        </w:rPr>
        <w:t xml:space="preserve"> - Associated</w:t>
      </w:r>
    </w:p>
    <w:p w:rsidR="00545E30" w:rsidRPr="00545E30" w:rsidRDefault="00545E30" w:rsidP="0098541D">
      <w:pPr>
        <w:spacing w:line="360" w:lineRule="auto"/>
        <w:ind w:left="1440" w:hanging="1440"/>
        <w:jc w:val="both"/>
        <w:rPr>
          <w:b/>
          <w:sz w:val="26"/>
          <w:szCs w:val="26"/>
        </w:rPr>
      </w:pPr>
      <w:r w:rsidRPr="00545E30">
        <w:rPr>
          <w:b/>
          <w:sz w:val="26"/>
          <w:szCs w:val="26"/>
        </w:rPr>
        <w:t>For the Defendant</w:t>
      </w:r>
      <w:r w:rsidRPr="00545E30">
        <w:rPr>
          <w:b/>
          <w:sz w:val="26"/>
          <w:szCs w:val="26"/>
        </w:rPr>
        <w:tab/>
        <w:t>:</w:t>
      </w:r>
      <w:r w:rsidRPr="00545E30">
        <w:rPr>
          <w:b/>
          <w:sz w:val="26"/>
          <w:szCs w:val="26"/>
        </w:rPr>
        <w:tab/>
        <w:t>B. W. Magagula</w:t>
      </w:r>
      <w:r w:rsidR="00830B08">
        <w:rPr>
          <w:b/>
          <w:sz w:val="26"/>
          <w:szCs w:val="26"/>
        </w:rPr>
        <w:t xml:space="preserve"> of Magagula Attorneys</w:t>
      </w:r>
    </w:p>
    <w:p w:rsidR="00CF6F75" w:rsidRDefault="00CF6F75"/>
    <w:sectPr w:rsidR="00CF6F75" w:rsidSect="00CF6F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2A05"/>
    <w:multiLevelType w:val="hybridMultilevel"/>
    <w:tmpl w:val="16EE0DF6"/>
    <w:lvl w:ilvl="0" w:tplc="A440B6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541D"/>
    <w:rsid w:val="000539E0"/>
    <w:rsid w:val="00063ABB"/>
    <w:rsid w:val="000E7203"/>
    <w:rsid w:val="000E7D55"/>
    <w:rsid w:val="00125F32"/>
    <w:rsid w:val="00137371"/>
    <w:rsid w:val="001B7A07"/>
    <w:rsid w:val="002408A7"/>
    <w:rsid w:val="00275C02"/>
    <w:rsid w:val="00286B32"/>
    <w:rsid w:val="002D2414"/>
    <w:rsid w:val="002F1585"/>
    <w:rsid w:val="003115B1"/>
    <w:rsid w:val="00330F3C"/>
    <w:rsid w:val="00366515"/>
    <w:rsid w:val="00377BD1"/>
    <w:rsid w:val="003B69B0"/>
    <w:rsid w:val="003C688A"/>
    <w:rsid w:val="003D2A80"/>
    <w:rsid w:val="004553E1"/>
    <w:rsid w:val="004C346D"/>
    <w:rsid w:val="00502570"/>
    <w:rsid w:val="0053582B"/>
    <w:rsid w:val="00545E30"/>
    <w:rsid w:val="005753A1"/>
    <w:rsid w:val="00591D56"/>
    <w:rsid w:val="005D0603"/>
    <w:rsid w:val="00636706"/>
    <w:rsid w:val="0066122C"/>
    <w:rsid w:val="00682FB6"/>
    <w:rsid w:val="006A1ED6"/>
    <w:rsid w:val="006B118F"/>
    <w:rsid w:val="006C4B9E"/>
    <w:rsid w:val="00751FCE"/>
    <w:rsid w:val="0076177E"/>
    <w:rsid w:val="00761845"/>
    <w:rsid w:val="00773CAF"/>
    <w:rsid w:val="007B5A69"/>
    <w:rsid w:val="007C788D"/>
    <w:rsid w:val="00810304"/>
    <w:rsid w:val="00830B08"/>
    <w:rsid w:val="00837C68"/>
    <w:rsid w:val="0098541D"/>
    <w:rsid w:val="009F071B"/>
    <w:rsid w:val="00A527C9"/>
    <w:rsid w:val="00A60636"/>
    <w:rsid w:val="00A75A79"/>
    <w:rsid w:val="00A776D1"/>
    <w:rsid w:val="00B00D85"/>
    <w:rsid w:val="00B84627"/>
    <w:rsid w:val="00BA30F4"/>
    <w:rsid w:val="00BA552D"/>
    <w:rsid w:val="00BE2701"/>
    <w:rsid w:val="00C06B04"/>
    <w:rsid w:val="00C24728"/>
    <w:rsid w:val="00C27C69"/>
    <w:rsid w:val="00C90CBA"/>
    <w:rsid w:val="00CB2BAA"/>
    <w:rsid w:val="00CC2F74"/>
    <w:rsid w:val="00CF6F75"/>
    <w:rsid w:val="00D02986"/>
    <w:rsid w:val="00D26972"/>
    <w:rsid w:val="00D35B16"/>
    <w:rsid w:val="00DF0BAA"/>
    <w:rsid w:val="00DF26D3"/>
    <w:rsid w:val="00E107EC"/>
    <w:rsid w:val="00E20A2B"/>
    <w:rsid w:val="00E609CD"/>
    <w:rsid w:val="00E963CF"/>
    <w:rsid w:val="00F6537C"/>
    <w:rsid w:val="00F761C4"/>
    <w:rsid w:val="00FA772D"/>
    <w:rsid w:val="00FC157E"/>
    <w:rsid w:val="00FD0AB6"/>
    <w:rsid w:val="00FE1F97"/>
    <w:rsid w:val="00FF4B4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1D"/>
    <w:rPr>
      <w:rFonts w:ascii="Tahoma" w:hAnsi="Tahoma" w:cs="Tahoma"/>
      <w:sz w:val="16"/>
      <w:szCs w:val="16"/>
    </w:rPr>
  </w:style>
  <w:style w:type="character" w:customStyle="1" w:styleId="BalloonTextChar">
    <w:name w:val="Balloon Text Char"/>
    <w:basedOn w:val="DefaultParagraphFont"/>
    <w:link w:val="BalloonText"/>
    <w:uiPriority w:val="99"/>
    <w:semiHidden/>
    <w:rsid w:val="0098541D"/>
    <w:rPr>
      <w:rFonts w:ascii="Tahoma" w:eastAsia="Times New Roman" w:hAnsi="Tahoma" w:cs="Tahoma"/>
      <w:sz w:val="16"/>
      <w:szCs w:val="16"/>
    </w:rPr>
  </w:style>
  <w:style w:type="paragraph" w:styleId="ListParagraph">
    <w:name w:val="List Paragraph"/>
    <w:basedOn w:val="Normal"/>
    <w:uiPriority w:val="34"/>
    <w:qFormat/>
    <w:rsid w:val="00455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1D"/>
    <w:rPr>
      <w:rFonts w:ascii="Tahoma" w:hAnsi="Tahoma" w:cs="Tahoma"/>
      <w:sz w:val="16"/>
      <w:szCs w:val="16"/>
    </w:rPr>
  </w:style>
  <w:style w:type="character" w:customStyle="1" w:styleId="BalloonTextChar">
    <w:name w:val="Balloon Text Char"/>
    <w:basedOn w:val="DefaultParagraphFont"/>
    <w:link w:val="BalloonText"/>
    <w:uiPriority w:val="99"/>
    <w:semiHidden/>
    <w:rsid w:val="0098541D"/>
    <w:rPr>
      <w:rFonts w:ascii="Tahoma" w:eastAsia="Times New Roman" w:hAnsi="Tahoma" w:cs="Tahoma"/>
      <w:sz w:val="16"/>
      <w:szCs w:val="16"/>
    </w:rPr>
  </w:style>
  <w:style w:type="paragraph" w:styleId="ListParagraph">
    <w:name w:val="List Paragraph"/>
    <w:basedOn w:val="Normal"/>
    <w:uiPriority w:val="34"/>
    <w:qFormat/>
    <w:rsid w:val="004553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4FBF-BE5C-4781-9DB9-BF7A602C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2015-02-04T10:00:00Z</cp:lastPrinted>
  <dcterms:created xsi:type="dcterms:W3CDTF">2015-02-27T08:29:00Z</dcterms:created>
  <dcterms:modified xsi:type="dcterms:W3CDTF">2015-02-27T08:29:00Z</dcterms:modified>
</cp:coreProperties>
</file>