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0A" w:rsidRPr="005577C4" w:rsidRDefault="000C5C0A" w:rsidP="000C5C0A">
      <w:pPr>
        <w:spacing w:line="480" w:lineRule="auto"/>
        <w:jc w:val="center"/>
        <w:rPr>
          <w:b/>
          <w:bCs/>
        </w:rPr>
      </w:pPr>
      <w:r w:rsidRPr="005577C4">
        <w:rPr>
          <w:b/>
          <w:noProof/>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0C5C0A" w:rsidRPr="005577C4" w:rsidRDefault="000C5C0A" w:rsidP="000C5C0A">
      <w:pPr>
        <w:spacing w:line="480" w:lineRule="auto"/>
        <w:jc w:val="center"/>
        <w:rPr>
          <w:b/>
          <w:bCs/>
        </w:rPr>
      </w:pPr>
      <w:r w:rsidRPr="005577C4">
        <w:rPr>
          <w:b/>
          <w:bCs/>
        </w:rPr>
        <w:t>IN THE INDUSTRIAL COURT OF SWAZILAND</w:t>
      </w:r>
    </w:p>
    <w:p w:rsidR="000C5C0A" w:rsidRPr="005577C4" w:rsidRDefault="000C5C0A" w:rsidP="000C5C0A">
      <w:pPr>
        <w:pStyle w:val="BodyText"/>
        <w:spacing w:line="360" w:lineRule="auto"/>
        <w:rPr>
          <w:rFonts w:ascii="Times New Roman" w:hAnsi="Times New Roman" w:cs="Times New Roman"/>
          <w:b/>
          <w:bCs/>
          <w:sz w:val="24"/>
        </w:rPr>
      </w:pPr>
      <w:r w:rsidRPr="005577C4">
        <w:rPr>
          <w:rFonts w:ascii="Times New Roman" w:hAnsi="Times New Roman" w:cs="Times New Roman"/>
          <w:b/>
          <w:sz w:val="24"/>
        </w:rPr>
        <w:tab/>
      </w:r>
      <w:r w:rsidRPr="005577C4">
        <w:rPr>
          <w:rFonts w:ascii="Times New Roman" w:hAnsi="Times New Roman" w:cs="Times New Roman"/>
          <w:b/>
          <w:sz w:val="24"/>
        </w:rPr>
        <w:tab/>
      </w:r>
      <w:r w:rsidRPr="005577C4">
        <w:rPr>
          <w:rFonts w:ascii="Times New Roman" w:hAnsi="Times New Roman" w:cs="Times New Roman"/>
          <w:b/>
          <w:sz w:val="24"/>
        </w:rPr>
        <w:tab/>
      </w:r>
      <w:r w:rsidRPr="005577C4">
        <w:rPr>
          <w:rFonts w:ascii="Times New Roman" w:hAnsi="Times New Roman" w:cs="Times New Roman"/>
          <w:b/>
          <w:sz w:val="24"/>
        </w:rPr>
        <w:tab/>
      </w:r>
      <w:r w:rsidRPr="005577C4">
        <w:rPr>
          <w:rFonts w:ascii="Times New Roman" w:hAnsi="Times New Roman" w:cs="Times New Roman"/>
          <w:b/>
          <w:sz w:val="24"/>
        </w:rPr>
        <w:tab/>
      </w:r>
      <w:r w:rsidRPr="005577C4">
        <w:rPr>
          <w:rFonts w:ascii="Times New Roman" w:hAnsi="Times New Roman" w:cs="Times New Roman"/>
          <w:b/>
          <w:sz w:val="24"/>
        </w:rPr>
        <w:tab/>
      </w:r>
      <w:r w:rsidRPr="005577C4">
        <w:rPr>
          <w:rFonts w:ascii="Times New Roman" w:hAnsi="Times New Roman" w:cs="Times New Roman"/>
          <w:b/>
          <w:sz w:val="24"/>
        </w:rPr>
        <w:tab/>
        <w:t xml:space="preserve">      </w:t>
      </w:r>
      <w:r w:rsidRPr="005577C4">
        <w:rPr>
          <w:rFonts w:ascii="Times New Roman" w:hAnsi="Times New Roman" w:cs="Times New Roman"/>
          <w:b/>
          <w:bCs/>
          <w:sz w:val="24"/>
        </w:rPr>
        <w:t>CASE NO.15/2011</w:t>
      </w:r>
    </w:p>
    <w:p w:rsidR="000C5C0A" w:rsidRPr="005577C4" w:rsidRDefault="000C5C0A" w:rsidP="007963CC">
      <w:pPr>
        <w:pStyle w:val="BodyText"/>
        <w:spacing w:line="360" w:lineRule="auto"/>
        <w:rPr>
          <w:rFonts w:ascii="Times New Roman" w:hAnsi="Times New Roman" w:cs="Times New Roman"/>
          <w:bCs/>
          <w:sz w:val="24"/>
        </w:rPr>
      </w:pPr>
      <w:r w:rsidRPr="005577C4">
        <w:rPr>
          <w:rFonts w:ascii="Times New Roman" w:hAnsi="Times New Roman" w:cs="Times New Roman"/>
          <w:bCs/>
          <w:sz w:val="24"/>
        </w:rPr>
        <w:t>In the matter between:-</w:t>
      </w:r>
    </w:p>
    <w:p w:rsidR="000C5C0A" w:rsidRPr="005577C4" w:rsidRDefault="000C5C0A" w:rsidP="007963CC">
      <w:pPr>
        <w:spacing w:line="360" w:lineRule="auto"/>
        <w:jc w:val="both"/>
        <w:rPr>
          <w:b/>
        </w:rPr>
      </w:pPr>
    </w:p>
    <w:p w:rsidR="000C5C0A" w:rsidRPr="005577C4" w:rsidRDefault="000C5C0A" w:rsidP="007963CC">
      <w:pPr>
        <w:spacing w:line="360" w:lineRule="auto"/>
        <w:jc w:val="both"/>
        <w:rPr>
          <w:b/>
        </w:rPr>
      </w:pPr>
      <w:r w:rsidRPr="005577C4">
        <w:rPr>
          <w:b/>
        </w:rPr>
        <w:t xml:space="preserve">AMOS MABUZA  </w:t>
      </w:r>
      <w:r w:rsidRPr="005577C4">
        <w:rPr>
          <w:b/>
        </w:rPr>
        <w:tab/>
      </w:r>
      <w:r w:rsidRPr="005577C4">
        <w:rPr>
          <w:b/>
        </w:rPr>
        <w:tab/>
      </w:r>
      <w:r w:rsidRPr="005577C4">
        <w:rPr>
          <w:b/>
        </w:rPr>
        <w:tab/>
        <w:t xml:space="preserve">       </w:t>
      </w:r>
      <w:r w:rsidRPr="005577C4">
        <w:rPr>
          <w:b/>
        </w:rPr>
        <w:tab/>
      </w:r>
      <w:r w:rsidRPr="005577C4">
        <w:rPr>
          <w:b/>
        </w:rPr>
        <w:tab/>
      </w:r>
      <w:r w:rsidRPr="005577C4">
        <w:t xml:space="preserve"> A</w:t>
      </w:r>
      <w:r w:rsidR="00B46215" w:rsidRPr="005577C4">
        <w:t>pplicant</w:t>
      </w:r>
    </w:p>
    <w:p w:rsidR="000C5C0A" w:rsidRPr="005577C4" w:rsidRDefault="000C5C0A" w:rsidP="007963CC">
      <w:pPr>
        <w:spacing w:line="360" w:lineRule="auto"/>
        <w:jc w:val="both"/>
        <w:rPr>
          <w:b/>
        </w:rPr>
      </w:pPr>
    </w:p>
    <w:p w:rsidR="000C5C0A" w:rsidRPr="005577C4" w:rsidRDefault="000C5C0A" w:rsidP="007963CC">
      <w:pPr>
        <w:spacing w:line="360" w:lineRule="auto"/>
        <w:jc w:val="both"/>
        <w:rPr>
          <w:b/>
        </w:rPr>
      </w:pPr>
      <w:r w:rsidRPr="005577C4">
        <w:rPr>
          <w:b/>
        </w:rPr>
        <w:t xml:space="preserve">And </w:t>
      </w:r>
    </w:p>
    <w:p w:rsidR="000C5C0A" w:rsidRPr="005577C4" w:rsidRDefault="000C5C0A" w:rsidP="007963CC">
      <w:pPr>
        <w:spacing w:line="360" w:lineRule="auto"/>
        <w:jc w:val="both"/>
        <w:rPr>
          <w:b/>
        </w:rPr>
      </w:pPr>
      <w:r w:rsidRPr="005577C4">
        <w:rPr>
          <w:b/>
        </w:rPr>
        <w:t xml:space="preserve">SWAZI PLASTIC INDUSTRIES                        </w:t>
      </w:r>
      <w:r w:rsidRPr="005577C4">
        <w:t>R</w:t>
      </w:r>
      <w:r w:rsidR="00B46215" w:rsidRPr="005577C4">
        <w:t>espondent</w:t>
      </w:r>
    </w:p>
    <w:p w:rsidR="000C5C0A" w:rsidRPr="005577C4" w:rsidRDefault="000C5C0A" w:rsidP="007963CC">
      <w:pPr>
        <w:spacing w:line="360" w:lineRule="auto"/>
        <w:jc w:val="both"/>
        <w:rPr>
          <w:b/>
        </w:rPr>
      </w:pPr>
    </w:p>
    <w:p w:rsidR="000C5C0A" w:rsidRPr="005577C4" w:rsidRDefault="000C5C0A" w:rsidP="007963CC">
      <w:pPr>
        <w:spacing w:line="360" w:lineRule="auto"/>
        <w:ind w:left="2880" w:hanging="2880"/>
        <w:jc w:val="both"/>
      </w:pPr>
      <w:r w:rsidRPr="005577C4">
        <w:t>Neutral citation:</w:t>
      </w:r>
      <w:r w:rsidRPr="005577C4">
        <w:tab/>
        <w:t xml:space="preserve">Amos </w:t>
      </w:r>
      <w:proofErr w:type="spellStart"/>
      <w:r w:rsidRPr="005577C4">
        <w:t>Mabuza</w:t>
      </w:r>
      <w:proofErr w:type="spellEnd"/>
      <w:r w:rsidRPr="005577C4">
        <w:t xml:space="preserve"> V Swazi Plastic Industries (15/2011) [2014] SZIC </w:t>
      </w:r>
      <w:r w:rsidR="005807AA" w:rsidRPr="005577C4">
        <w:t>20</w:t>
      </w:r>
      <w:r w:rsidRPr="005577C4">
        <w:t xml:space="preserve"> (</w:t>
      </w:r>
      <w:r w:rsidR="005807AA" w:rsidRPr="005577C4">
        <w:t xml:space="preserve">April </w:t>
      </w:r>
      <w:r w:rsidRPr="005577C4">
        <w:t>2014)</w:t>
      </w:r>
    </w:p>
    <w:p w:rsidR="000C5C0A" w:rsidRPr="005577C4" w:rsidRDefault="000C5C0A" w:rsidP="007963CC">
      <w:pPr>
        <w:jc w:val="both"/>
      </w:pPr>
    </w:p>
    <w:p w:rsidR="000C5C0A" w:rsidRPr="005577C4" w:rsidRDefault="000C5C0A" w:rsidP="007963CC">
      <w:pPr>
        <w:jc w:val="both"/>
      </w:pPr>
      <w:r w:rsidRPr="005577C4">
        <w:t>CORAM:</w:t>
      </w:r>
      <w:r w:rsidRPr="005577C4">
        <w:tab/>
      </w:r>
      <w:r w:rsidRPr="005577C4">
        <w:tab/>
      </w:r>
      <w:r w:rsidRPr="005577C4">
        <w:tab/>
        <w:t xml:space="preserve">D. MAZIBUKO </w:t>
      </w:r>
    </w:p>
    <w:p w:rsidR="000C5C0A" w:rsidRPr="005577C4" w:rsidRDefault="000C5C0A" w:rsidP="007963CC">
      <w:pPr>
        <w:jc w:val="both"/>
      </w:pPr>
    </w:p>
    <w:p w:rsidR="000C5C0A" w:rsidRPr="005577C4" w:rsidRDefault="000C5C0A" w:rsidP="007963CC">
      <w:pPr>
        <w:ind w:left="2160" w:firstLine="720"/>
        <w:jc w:val="both"/>
      </w:pPr>
      <w:r w:rsidRPr="005577C4">
        <w:t xml:space="preserve">(Sitting with A. </w:t>
      </w:r>
      <w:proofErr w:type="spellStart"/>
      <w:r w:rsidRPr="005577C4">
        <w:t>Nkambule</w:t>
      </w:r>
      <w:proofErr w:type="spellEnd"/>
      <w:r w:rsidRPr="005577C4">
        <w:t xml:space="preserve"> &amp; M.T.E. </w:t>
      </w:r>
      <w:proofErr w:type="spellStart"/>
      <w:r w:rsidRPr="005577C4">
        <w:t>Mtetwa</w:t>
      </w:r>
      <w:proofErr w:type="spellEnd"/>
      <w:r w:rsidRPr="005577C4">
        <w:t xml:space="preserve">)   </w:t>
      </w:r>
    </w:p>
    <w:p w:rsidR="000C5C0A" w:rsidRPr="005577C4" w:rsidRDefault="000C5C0A" w:rsidP="007963CC">
      <w:pPr>
        <w:spacing w:line="360" w:lineRule="auto"/>
        <w:ind w:left="2160" w:firstLine="720"/>
        <w:jc w:val="both"/>
      </w:pPr>
      <w:r w:rsidRPr="005577C4">
        <w:t>(Members of the Court)</w:t>
      </w:r>
    </w:p>
    <w:p w:rsidR="000C5C0A" w:rsidRPr="005577C4" w:rsidRDefault="000C5C0A" w:rsidP="007963CC">
      <w:pPr>
        <w:spacing w:line="360" w:lineRule="auto"/>
        <w:jc w:val="both"/>
      </w:pPr>
    </w:p>
    <w:p w:rsidR="000C5C0A" w:rsidRPr="005577C4" w:rsidRDefault="000C5C0A" w:rsidP="007963CC">
      <w:pPr>
        <w:spacing w:line="360" w:lineRule="auto"/>
        <w:jc w:val="both"/>
      </w:pPr>
      <w:r w:rsidRPr="005577C4">
        <w:t>Heard:</w:t>
      </w:r>
      <w:r w:rsidRPr="005577C4">
        <w:tab/>
      </w:r>
      <w:r w:rsidRPr="005577C4">
        <w:tab/>
      </w:r>
      <w:r w:rsidR="001E5422" w:rsidRPr="005577C4">
        <w:t xml:space="preserve">  </w:t>
      </w:r>
      <w:r w:rsidR="005807AA" w:rsidRPr="005577C4">
        <w:t>10</w:t>
      </w:r>
      <w:r w:rsidR="005807AA" w:rsidRPr="005577C4">
        <w:rPr>
          <w:vertAlign w:val="superscript"/>
        </w:rPr>
        <w:t>th</w:t>
      </w:r>
      <w:r w:rsidR="005807AA" w:rsidRPr="005577C4">
        <w:t xml:space="preserve"> December</w:t>
      </w:r>
      <w:r w:rsidR="007963CC" w:rsidRPr="005577C4">
        <w:t xml:space="preserve"> </w:t>
      </w:r>
      <w:r w:rsidRPr="005577C4">
        <w:t>2013</w:t>
      </w:r>
    </w:p>
    <w:p w:rsidR="000C5C0A" w:rsidRPr="005577C4" w:rsidRDefault="000C5C0A" w:rsidP="007963CC">
      <w:pPr>
        <w:jc w:val="both"/>
      </w:pPr>
    </w:p>
    <w:p w:rsidR="000C5C0A" w:rsidRPr="005577C4" w:rsidRDefault="000C5C0A" w:rsidP="007963CC">
      <w:pPr>
        <w:jc w:val="both"/>
      </w:pPr>
      <w:r w:rsidRPr="005577C4">
        <w:t>Delivered:</w:t>
      </w:r>
      <w:r w:rsidRPr="005577C4">
        <w:tab/>
      </w:r>
      <w:r w:rsidRPr="005577C4">
        <w:tab/>
      </w:r>
      <w:r w:rsidR="005807AA" w:rsidRPr="005577C4">
        <w:t>30</w:t>
      </w:r>
      <w:r w:rsidR="005807AA" w:rsidRPr="005577C4">
        <w:rPr>
          <w:vertAlign w:val="superscript"/>
        </w:rPr>
        <w:t>th</w:t>
      </w:r>
      <w:r w:rsidR="005807AA" w:rsidRPr="005577C4">
        <w:t xml:space="preserve"> April 2014</w:t>
      </w:r>
      <w:r w:rsidRPr="005577C4">
        <w:tab/>
      </w:r>
      <w:r w:rsidRPr="005577C4">
        <w:tab/>
        <w:t xml:space="preserve">   </w:t>
      </w:r>
    </w:p>
    <w:p w:rsidR="00632A5E" w:rsidRPr="005577C4" w:rsidRDefault="00632A5E" w:rsidP="007963CC">
      <w:pPr>
        <w:jc w:val="both"/>
      </w:pPr>
    </w:p>
    <w:p w:rsidR="000C5C0A" w:rsidRPr="005577C4" w:rsidRDefault="000C5C0A" w:rsidP="007963CC">
      <w:pPr>
        <w:jc w:val="both"/>
      </w:pPr>
    </w:p>
    <w:p w:rsidR="000C5C0A" w:rsidRPr="005577C4" w:rsidRDefault="000C5C0A" w:rsidP="007963CC">
      <w:pPr>
        <w:jc w:val="both"/>
      </w:pPr>
    </w:p>
    <w:p w:rsidR="00FF04E6" w:rsidRPr="005577C4" w:rsidRDefault="000C5C0A" w:rsidP="001E5422">
      <w:pPr>
        <w:spacing w:line="480" w:lineRule="auto"/>
        <w:ind w:left="1701" w:hanging="1701"/>
        <w:jc w:val="both"/>
        <w:rPr>
          <w:i/>
        </w:rPr>
      </w:pPr>
      <w:r w:rsidRPr="005577C4">
        <w:rPr>
          <w:i/>
        </w:rPr>
        <w:t xml:space="preserve">Summary:   </w:t>
      </w:r>
      <w:r w:rsidR="001E5422" w:rsidRPr="005577C4">
        <w:rPr>
          <w:i/>
        </w:rPr>
        <w:t xml:space="preserve">     </w:t>
      </w:r>
      <w:r w:rsidRPr="005577C4">
        <w:rPr>
          <w:i/>
        </w:rPr>
        <w:t xml:space="preserve"> </w:t>
      </w:r>
      <w:proofErr w:type="spellStart"/>
      <w:r w:rsidRPr="005577C4">
        <w:rPr>
          <w:i/>
        </w:rPr>
        <w:t>Labour</w:t>
      </w:r>
      <w:proofErr w:type="spellEnd"/>
      <w:r w:rsidRPr="005577C4">
        <w:rPr>
          <w:i/>
        </w:rPr>
        <w:t xml:space="preserve"> Law: Employer changes ter</w:t>
      </w:r>
      <w:r w:rsidR="00A32569" w:rsidRPr="005577C4">
        <w:rPr>
          <w:i/>
        </w:rPr>
        <w:t>m</w:t>
      </w:r>
      <w:r w:rsidR="001E5422" w:rsidRPr="005577C4">
        <w:rPr>
          <w:i/>
        </w:rPr>
        <w:t>s of employment contract.   The chan</w:t>
      </w:r>
      <w:r w:rsidR="00A32569" w:rsidRPr="005577C4">
        <w:rPr>
          <w:i/>
        </w:rPr>
        <w:t>ge</w:t>
      </w:r>
      <w:r w:rsidR="001E5422" w:rsidRPr="005577C4">
        <w:rPr>
          <w:i/>
        </w:rPr>
        <w:t>s</w:t>
      </w:r>
      <w:r w:rsidR="00A32569" w:rsidRPr="005577C4">
        <w:rPr>
          <w:i/>
        </w:rPr>
        <w:t xml:space="preserve"> reduce</w:t>
      </w:r>
      <w:r w:rsidR="001E5422" w:rsidRPr="005577C4">
        <w:rPr>
          <w:i/>
        </w:rPr>
        <w:t>d the</w:t>
      </w:r>
      <w:r w:rsidRPr="005577C4">
        <w:rPr>
          <w:i/>
        </w:rPr>
        <w:t xml:space="preserve"> employee’s status</w:t>
      </w:r>
      <w:r w:rsidR="00F31E45" w:rsidRPr="005577C4">
        <w:rPr>
          <w:i/>
        </w:rPr>
        <w:t xml:space="preserve"> </w:t>
      </w:r>
      <w:r w:rsidRPr="005577C4">
        <w:rPr>
          <w:i/>
        </w:rPr>
        <w:t xml:space="preserve">at work and salary.  </w:t>
      </w:r>
    </w:p>
    <w:p w:rsidR="000C5C0A" w:rsidRPr="005577C4" w:rsidRDefault="000C5C0A" w:rsidP="00FF04E6">
      <w:pPr>
        <w:spacing w:line="480" w:lineRule="auto"/>
        <w:ind w:left="1418"/>
        <w:jc w:val="both"/>
        <w:rPr>
          <w:i/>
        </w:rPr>
      </w:pPr>
      <w:r w:rsidRPr="005577C4">
        <w:rPr>
          <w:i/>
        </w:rPr>
        <w:t xml:space="preserve">Employee applies to </w:t>
      </w:r>
      <w:proofErr w:type="spellStart"/>
      <w:r w:rsidRPr="005577C4">
        <w:rPr>
          <w:i/>
        </w:rPr>
        <w:t>Labour</w:t>
      </w:r>
      <w:proofErr w:type="spellEnd"/>
      <w:r w:rsidRPr="005577C4">
        <w:rPr>
          <w:i/>
        </w:rPr>
        <w:t xml:space="preserve"> Commissioner for restoration of status quo ante, in terms of Section 26(2) and (3) of the Employment Act No.5/1980</w:t>
      </w:r>
      <w:r w:rsidR="00222B1D" w:rsidRPr="005577C4">
        <w:rPr>
          <w:i/>
        </w:rPr>
        <w:t xml:space="preserve"> as amended</w:t>
      </w:r>
      <w:r w:rsidRPr="005577C4">
        <w:rPr>
          <w:i/>
        </w:rPr>
        <w:t xml:space="preserve">.  Employee has 14 days to apply to </w:t>
      </w:r>
      <w:r w:rsidR="005807AA" w:rsidRPr="005577C4">
        <w:rPr>
          <w:i/>
        </w:rPr>
        <w:t>Commissioner</w:t>
      </w:r>
      <w:r w:rsidRPr="005577C4">
        <w:rPr>
          <w:i/>
        </w:rPr>
        <w:t xml:space="preserve"> to restore the status quo an</w:t>
      </w:r>
      <w:r w:rsidR="005807AA" w:rsidRPr="005577C4">
        <w:rPr>
          <w:i/>
        </w:rPr>
        <w:t>te.  The 14 days period is peremptory.</w:t>
      </w:r>
      <w:r w:rsidRPr="005577C4">
        <w:rPr>
          <w:i/>
        </w:rPr>
        <w:t xml:space="preserve">  Employee applies to Commissioner after the 14 days period, and </w:t>
      </w:r>
      <w:r w:rsidR="005807AA" w:rsidRPr="005577C4">
        <w:rPr>
          <w:i/>
        </w:rPr>
        <w:t>Commissioner</w:t>
      </w:r>
      <w:r w:rsidRPr="005577C4">
        <w:rPr>
          <w:i/>
        </w:rPr>
        <w:t xml:space="preserve"> </w:t>
      </w:r>
      <w:proofErr w:type="gramStart"/>
      <w:r w:rsidRPr="005577C4">
        <w:rPr>
          <w:i/>
        </w:rPr>
        <w:t>rules</w:t>
      </w:r>
      <w:proofErr w:type="gramEnd"/>
      <w:r w:rsidRPr="005577C4">
        <w:rPr>
          <w:i/>
        </w:rPr>
        <w:t xml:space="preserve"> in the </w:t>
      </w:r>
      <w:r w:rsidRPr="005577C4">
        <w:rPr>
          <w:i/>
        </w:rPr>
        <w:lastRenderedPageBreak/>
        <w:t xml:space="preserve">employee’s </w:t>
      </w:r>
      <w:proofErr w:type="spellStart"/>
      <w:r w:rsidR="005807AA" w:rsidRPr="005577C4">
        <w:rPr>
          <w:i/>
        </w:rPr>
        <w:t>favour</w:t>
      </w:r>
      <w:proofErr w:type="spellEnd"/>
      <w:r w:rsidR="005807AA" w:rsidRPr="005577C4">
        <w:rPr>
          <w:i/>
        </w:rPr>
        <w:t>.  Held; the employee was out of time, and therefore Commissioner had no jurisdiction over the matter.   Commissioner’s ruling was set</w:t>
      </w:r>
      <w:r w:rsidRPr="005577C4">
        <w:rPr>
          <w:i/>
        </w:rPr>
        <w:t xml:space="preserve"> aside for want of jurisdiction.  Employee files an application in Court challenging the changes in the employment contract.  Applicant</w:t>
      </w:r>
      <w:r w:rsidR="005807AA" w:rsidRPr="005577C4">
        <w:rPr>
          <w:i/>
        </w:rPr>
        <w:t>’s</w:t>
      </w:r>
      <w:r w:rsidRPr="005577C4">
        <w:rPr>
          <w:i/>
        </w:rPr>
        <w:t xml:space="preserve"> claim is supported by </w:t>
      </w:r>
      <w:r w:rsidR="005807AA" w:rsidRPr="005577C4">
        <w:rPr>
          <w:i/>
        </w:rPr>
        <w:t xml:space="preserve">a </w:t>
      </w:r>
      <w:r w:rsidRPr="005577C4">
        <w:rPr>
          <w:i/>
        </w:rPr>
        <w:t>certificate of unresolved dispute</w:t>
      </w:r>
      <w:r w:rsidR="00F31E45" w:rsidRPr="005577C4">
        <w:rPr>
          <w:i/>
        </w:rPr>
        <w:t>.  Held; application properly before Court, Court has jurisdiction to hear the matter.</w:t>
      </w:r>
    </w:p>
    <w:p w:rsidR="000C5C0A" w:rsidRPr="005577C4" w:rsidRDefault="000C5C0A" w:rsidP="007963CC">
      <w:pPr>
        <w:jc w:val="both"/>
      </w:pPr>
    </w:p>
    <w:p w:rsidR="000C5C0A" w:rsidRPr="005577C4" w:rsidRDefault="000C5C0A" w:rsidP="008E78D8">
      <w:pPr>
        <w:spacing w:line="480" w:lineRule="auto"/>
        <w:jc w:val="center"/>
        <w:rPr>
          <w:bCs/>
        </w:rPr>
      </w:pPr>
      <w:r w:rsidRPr="005577C4">
        <w:rPr>
          <w:bCs/>
        </w:rPr>
        <w:t>JUDGMENT</w:t>
      </w:r>
    </w:p>
    <w:p w:rsidR="00B46215" w:rsidRPr="005577C4" w:rsidRDefault="00B46215" w:rsidP="007963CC">
      <w:pPr>
        <w:spacing w:line="480" w:lineRule="auto"/>
        <w:jc w:val="both"/>
        <w:rPr>
          <w:bCs/>
        </w:rPr>
      </w:pPr>
    </w:p>
    <w:p w:rsidR="000C5C0A" w:rsidRPr="005577C4" w:rsidRDefault="00F31E45" w:rsidP="007963CC">
      <w:pPr>
        <w:pStyle w:val="ListParagraph"/>
        <w:numPr>
          <w:ilvl w:val="0"/>
          <w:numId w:val="1"/>
        </w:numPr>
        <w:spacing w:line="480" w:lineRule="auto"/>
        <w:ind w:left="1134" w:hanging="639"/>
        <w:jc w:val="both"/>
      </w:pPr>
      <w:r w:rsidRPr="005577C4">
        <w:t xml:space="preserve">The Respondent is Swazi Plastic Industries </w:t>
      </w:r>
      <w:r w:rsidR="00235939" w:rsidRPr="005577C4">
        <w:t>a company incorporated</w:t>
      </w:r>
      <w:r w:rsidRPr="005577C4">
        <w:t xml:space="preserve"> in accordance with the laws of Swaziland, and trading as such in Swaziland.</w:t>
      </w:r>
    </w:p>
    <w:p w:rsidR="00235939" w:rsidRPr="005577C4" w:rsidRDefault="00235939" w:rsidP="007963CC">
      <w:pPr>
        <w:pStyle w:val="ListParagraph"/>
        <w:spacing w:line="480" w:lineRule="auto"/>
        <w:ind w:left="1134"/>
        <w:jc w:val="both"/>
      </w:pPr>
    </w:p>
    <w:p w:rsidR="00F31E45" w:rsidRPr="005577C4" w:rsidRDefault="00F31E45" w:rsidP="007963CC">
      <w:pPr>
        <w:pStyle w:val="ListParagraph"/>
        <w:numPr>
          <w:ilvl w:val="0"/>
          <w:numId w:val="1"/>
        </w:numPr>
        <w:spacing w:line="480" w:lineRule="auto"/>
        <w:ind w:left="1134" w:hanging="639"/>
        <w:jc w:val="both"/>
      </w:pPr>
      <w:r w:rsidRPr="005577C4">
        <w:t xml:space="preserve">The Respondent is Amos </w:t>
      </w:r>
      <w:proofErr w:type="spellStart"/>
      <w:r w:rsidRPr="005577C4">
        <w:t>Mabuza</w:t>
      </w:r>
      <w:proofErr w:type="spellEnd"/>
      <w:r w:rsidRPr="005577C4">
        <w:t>, an employee of the Respondent.</w:t>
      </w:r>
    </w:p>
    <w:p w:rsidR="00F31E45" w:rsidRPr="005577C4" w:rsidRDefault="00F31E45" w:rsidP="007963CC">
      <w:pPr>
        <w:pStyle w:val="ListParagraph"/>
        <w:jc w:val="both"/>
      </w:pPr>
    </w:p>
    <w:p w:rsidR="00B46215" w:rsidRPr="005577C4" w:rsidRDefault="00B46215" w:rsidP="007963CC">
      <w:pPr>
        <w:pStyle w:val="ListParagraph"/>
        <w:numPr>
          <w:ilvl w:val="0"/>
          <w:numId w:val="1"/>
        </w:numPr>
        <w:spacing w:line="480" w:lineRule="auto"/>
        <w:ind w:left="1134" w:hanging="639"/>
        <w:jc w:val="both"/>
      </w:pPr>
      <w:r w:rsidRPr="005577C4">
        <w:t xml:space="preserve"> </w:t>
      </w:r>
      <w:r w:rsidR="00F31E45" w:rsidRPr="005577C4">
        <w:t>About the 4</w:t>
      </w:r>
      <w:r w:rsidR="00F31E45" w:rsidRPr="005577C4">
        <w:rPr>
          <w:vertAlign w:val="superscript"/>
        </w:rPr>
        <w:t>th</w:t>
      </w:r>
      <w:r w:rsidR="00F31E45" w:rsidRPr="005577C4">
        <w:t xml:space="preserve"> March 1986 the Respondent em</w:t>
      </w:r>
      <w:r w:rsidRPr="005577C4">
        <w:t>ployed the Applicant   as an Extru</w:t>
      </w:r>
      <w:r w:rsidR="00F31E45" w:rsidRPr="005577C4">
        <w:t xml:space="preserve">sion Supervisor.  </w:t>
      </w:r>
    </w:p>
    <w:p w:rsidR="00B46215" w:rsidRPr="005577C4" w:rsidRDefault="00B46215" w:rsidP="007963CC">
      <w:pPr>
        <w:pStyle w:val="ListParagraph"/>
        <w:jc w:val="both"/>
      </w:pPr>
    </w:p>
    <w:p w:rsidR="00F31E45" w:rsidRPr="005577C4" w:rsidRDefault="00F31E45" w:rsidP="007963CC">
      <w:pPr>
        <w:pStyle w:val="ListParagraph"/>
        <w:spacing w:line="480" w:lineRule="auto"/>
        <w:ind w:left="1134"/>
        <w:jc w:val="both"/>
      </w:pPr>
      <w:r w:rsidRPr="005577C4">
        <w:t>The written particulars of employment are attached to the Applicant’s particulars of claim and are marked annexure AM1.</w:t>
      </w:r>
    </w:p>
    <w:p w:rsidR="00F31E45" w:rsidRPr="005577C4" w:rsidRDefault="00F31E45" w:rsidP="007963CC">
      <w:pPr>
        <w:pStyle w:val="ListParagraph"/>
        <w:jc w:val="both"/>
      </w:pPr>
    </w:p>
    <w:p w:rsidR="00F31E45" w:rsidRPr="005577C4" w:rsidRDefault="00F31E45" w:rsidP="007963CC">
      <w:pPr>
        <w:pStyle w:val="ListParagraph"/>
        <w:numPr>
          <w:ilvl w:val="0"/>
          <w:numId w:val="1"/>
        </w:numPr>
        <w:spacing w:line="480" w:lineRule="auto"/>
        <w:ind w:left="1134" w:hanging="639"/>
        <w:jc w:val="both"/>
      </w:pPr>
      <w:r w:rsidRPr="005577C4">
        <w:t xml:space="preserve">During the year 1999 the Applicant fell ill and had to undergo medical treatment.  The Applicant’s medical condition gradually deteriorated over the years.  This condition resulted in the Applicant being absent from work on certain days as well as arriving late for work on other days.   </w:t>
      </w:r>
      <w:r w:rsidR="00B46215" w:rsidRPr="005577C4">
        <w:t>According to</w:t>
      </w:r>
      <w:r w:rsidRPr="005577C4">
        <w:t xml:space="preserve"> the Respondent, in the year 2009 the Applicant was absent from work, on account of the illness, for 22 (twenty two) days.  The Respondent further estima</w:t>
      </w:r>
      <w:r w:rsidR="00A32569" w:rsidRPr="005577C4">
        <w:t xml:space="preserve">ted the amount of production </w:t>
      </w:r>
      <w:r w:rsidRPr="005577C4">
        <w:t xml:space="preserve">time lost due to the Applicant’s late arrival for work to be equivalent to five (5) </w:t>
      </w:r>
      <w:r w:rsidRPr="005577C4">
        <w:lastRenderedPageBreak/>
        <w:t>days.  This situation resulted in</w:t>
      </w:r>
      <w:r w:rsidR="005807AA" w:rsidRPr="005577C4">
        <w:t>-</w:t>
      </w:r>
      <w:r w:rsidRPr="005577C4">
        <w:t xml:space="preserve"> </w:t>
      </w:r>
      <w:r w:rsidR="005C086E" w:rsidRPr="005577C4">
        <w:t xml:space="preserve">strained relations between the Applicant and the Respondent.  The Respondent complained that the Applicant’s prolonged illness and late arrival at work has seriously </w:t>
      </w:r>
      <w:r w:rsidR="00B46215" w:rsidRPr="005577C4">
        <w:t>hampered production in the extru</w:t>
      </w:r>
      <w:r w:rsidR="005C086E" w:rsidRPr="005577C4">
        <w:t>sion department.  As a result the Respondent is unable to meet its production targets.  The Respondent is accordingly exposed to risk of loss of market share and ultimately loss of profit if the situation persists.</w:t>
      </w:r>
    </w:p>
    <w:p w:rsidR="005C086E" w:rsidRPr="005577C4" w:rsidRDefault="005C086E" w:rsidP="007963CC">
      <w:pPr>
        <w:pStyle w:val="ListParagraph"/>
        <w:jc w:val="both"/>
      </w:pPr>
    </w:p>
    <w:p w:rsidR="00B46215" w:rsidRPr="005577C4" w:rsidRDefault="005C086E" w:rsidP="007963CC">
      <w:pPr>
        <w:pStyle w:val="ListParagraph"/>
        <w:numPr>
          <w:ilvl w:val="0"/>
          <w:numId w:val="1"/>
        </w:numPr>
        <w:spacing w:line="480" w:lineRule="auto"/>
        <w:ind w:left="1134" w:hanging="708"/>
        <w:jc w:val="both"/>
      </w:pPr>
      <w:r w:rsidRPr="005577C4">
        <w:t>The Respondent took a decision to replace the Applicant as E</w:t>
      </w:r>
      <w:r w:rsidR="00B46215" w:rsidRPr="005577C4">
        <w:t>xtru</w:t>
      </w:r>
      <w:r w:rsidRPr="005577C4">
        <w:t>sion Supervisor.  On the 5</w:t>
      </w:r>
      <w:r w:rsidRPr="005577C4">
        <w:rPr>
          <w:vertAlign w:val="superscript"/>
        </w:rPr>
        <w:t>th</w:t>
      </w:r>
      <w:r w:rsidRPr="005577C4">
        <w:t xml:space="preserve"> October 2009 the Responden</w:t>
      </w:r>
      <w:r w:rsidR="00E511D7" w:rsidRPr="005577C4">
        <w:t>t demoted the Applicant to Extru</w:t>
      </w:r>
      <w:r w:rsidRPr="005577C4">
        <w:t xml:space="preserve">sion Operator. </w:t>
      </w:r>
    </w:p>
    <w:p w:rsidR="00B46215" w:rsidRPr="005577C4" w:rsidRDefault="00B46215" w:rsidP="007963CC">
      <w:pPr>
        <w:pStyle w:val="ListParagraph"/>
        <w:jc w:val="both"/>
      </w:pPr>
    </w:p>
    <w:p w:rsidR="005C086E" w:rsidRPr="005577C4" w:rsidRDefault="005C086E" w:rsidP="007963CC">
      <w:pPr>
        <w:pStyle w:val="ListParagraph"/>
        <w:spacing w:line="480" w:lineRule="auto"/>
        <w:ind w:left="1134" w:hanging="708"/>
        <w:jc w:val="both"/>
      </w:pPr>
      <w:r w:rsidRPr="005577C4">
        <w:t xml:space="preserve"> </w:t>
      </w:r>
      <w:r w:rsidR="00B46215" w:rsidRPr="005577C4">
        <w:t xml:space="preserve">        </w:t>
      </w:r>
      <w:r w:rsidRPr="005577C4">
        <w:t xml:space="preserve">The </w:t>
      </w:r>
      <w:r w:rsidR="00E511D7" w:rsidRPr="005577C4">
        <w:t>Applicant began working as Extru</w:t>
      </w:r>
      <w:r w:rsidRPr="005577C4">
        <w:t xml:space="preserve">sion Operator in November 2009.  The </w:t>
      </w:r>
      <w:r w:rsidR="00E511D7" w:rsidRPr="005577C4">
        <w:t>Respondent appointed a new Extru</w:t>
      </w:r>
      <w:r w:rsidRPr="005577C4">
        <w:t xml:space="preserve">sion Supervisor, a certain </w:t>
      </w:r>
      <w:proofErr w:type="spellStart"/>
      <w:r w:rsidRPr="005577C4">
        <w:t>Mr</w:t>
      </w:r>
      <w:proofErr w:type="spellEnd"/>
      <w:r w:rsidRPr="005577C4">
        <w:t xml:space="preserve"> Charles Mhlanga.</w:t>
      </w:r>
    </w:p>
    <w:p w:rsidR="005C086E" w:rsidRPr="005577C4" w:rsidRDefault="005C086E" w:rsidP="007963CC">
      <w:pPr>
        <w:pStyle w:val="ListParagraph"/>
        <w:jc w:val="both"/>
      </w:pPr>
    </w:p>
    <w:p w:rsidR="005C086E" w:rsidRPr="005577C4" w:rsidRDefault="00B46215" w:rsidP="007963CC">
      <w:pPr>
        <w:pStyle w:val="ListParagraph"/>
        <w:numPr>
          <w:ilvl w:val="0"/>
          <w:numId w:val="1"/>
        </w:numPr>
        <w:spacing w:line="480" w:lineRule="auto"/>
        <w:ind w:left="1134" w:hanging="501"/>
        <w:jc w:val="both"/>
      </w:pPr>
      <w:r w:rsidRPr="005577C4">
        <w:t xml:space="preserve"> </w:t>
      </w:r>
      <w:r w:rsidR="005C086E" w:rsidRPr="005577C4">
        <w:t>About the 19</w:t>
      </w:r>
      <w:r w:rsidR="005C086E" w:rsidRPr="005577C4">
        <w:rPr>
          <w:vertAlign w:val="superscript"/>
        </w:rPr>
        <w:t>th</w:t>
      </w:r>
      <w:r w:rsidR="005C086E" w:rsidRPr="005577C4">
        <w:t xml:space="preserve"> November 2009 the Respondent notified the Applicant by letter (annexure AM4) that it had further taken a decision </w:t>
      </w:r>
      <w:r w:rsidR="005807AA" w:rsidRPr="005577C4">
        <w:t>to reduce the Applicant’s rate</w:t>
      </w:r>
      <w:r w:rsidR="005C086E" w:rsidRPr="005577C4">
        <w:t xml:space="preserve"> of pay.  The Applicant’s salary was reduced from E</w:t>
      </w:r>
      <w:r w:rsidR="00240249" w:rsidRPr="005577C4">
        <w:t>2</w:t>
      </w:r>
      <w:r w:rsidR="005C086E" w:rsidRPr="005577C4">
        <w:t>0.89 per hour to E12.49 per hour with effect from December 2009.</w:t>
      </w:r>
    </w:p>
    <w:p w:rsidR="005C086E" w:rsidRPr="005577C4" w:rsidRDefault="005C086E" w:rsidP="007963CC">
      <w:pPr>
        <w:pStyle w:val="ListParagraph"/>
        <w:jc w:val="both"/>
      </w:pPr>
    </w:p>
    <w:p w:rsidR="005C086E" w:rsidRPr="005577C4" w:rsidRDefault="005C086E" w:rsidP="007963CC">
      <w:pPr>
        <w:pStyle w:val="ListParagraph"/>
        <w:numPr>
          <w:ilvl w:val="0"/>
          <w:numId w:val="1"/>
        </w:numPr>
        <w:spacing w:line="480" w:lineRule="auto"/>
        <w:ind w:left="1134" w:hanging="639"/>
        <w:jc w:val="both"/>
      </w:pPr>
      <w:r w:rsidRPr="005577C4">
        <w:t xml:space="preserve">The Applicant was dissatisfied with these changes which he regarded as unfair </w:t>
      </w:r>
      <w:proofErr w:type="spellStart"/>
      <w:r w:rsidRPr="005577C4">
        <w:t>labour</w:t>
      </w:r>
      <w:proofErr w:type="spellEnd"/>
      <w:r w:rsidRPr="005577C4">
        <w:t xml:space="preserve"> practice.  About the 11</w:t>
      </w:r>
      <w:r w:rsidRPr="005577C4">
        <w:rPr>
          <w:vertAlign w:val="superscript"/>
        </w:rPr>
        <w:t>th</w:t>
      </w:r>
      <w:r w:rsidRPr="005577C4">
        <w:t xml:space="preserve"> January 2010</w:t>
      </w:r>
      <w:r w:rsidR="000F10FF" w:rsidRPr="005577C4">
        <w:t xml:space="preserve"> </w:t>
      </w:r>
      <w:r w:rsidR="00240249" w:rsidRPr="005577C4">
        <w:t>the</w:t>
      </w:r>
      <w:r w:rsidR="000F10FF" w:rsidRPr="005577C4">
        <w:t xml:space="preserve"> Applicant wrote the Respondent a letter in which he registered his grievance concerning the recent changes in his employment contract.  A copy of that letter is attached to the Applicant’s particulars of claim marked annexure AM5.  According to the Applicant, the Respondent’s management failed to address his concerns despite receipt of the letter (annexure AM5)</w:t>
      </w:r>
      <w:r w:rsidR="00454A7B" w:rsidRPr="005577C4">
        <w:t>.</w:t>
      </w:r>
    </w:p>
    <w:p w:rsidR="00454A7B" w:rsidRPr="005577C4" w:rsidRDefault="00454A7B" w:rsidP="007963CC">
      <w:pPr>
        <w:pStyle w:val="ListParagraph"/>
        <w:jc w:val="both"/>
      </w:pPr>
    </w:p>
    <w:p w:rsidR="00622A20" w:rsidRPr="005577C4" w:rsidRDefault="005B1EE7" w:rsidP="007963CC">
      <w:pPr>
        <w:pStyle w:val="ListParagraph"/>
        <w:numPr>
          <w:ilvl w:val="0"/>
          <w:numId w:val="1"/>
        </w:numPr>
        <w:spacing w:line="480" w:lineRule="auto"/>
        <w:ind w:left="1134"/>
        <w:jc w:val="both"/>
      </w:pPr>
      <w:r w:rsidRPr="005577C4">
        <w:t xml:space="preserve"> </w:t>
      </w:r>
      <w:r w:rsidR="00454A7B" w:rsidRPr="005577C4">
        <w:t xml:space="preserve">Thereafter, the Applicant reported his grievance with the </w:t>
      </w:r>
      <w:proofErr w:type="spellStart"/>
      <w:r w:rsidR="00454A7B" w:rsidRPr="005577C4">
        <w:t>Labour</w:t>
      </w:r>
      <w:proofErr w:type="spellEnd"/>
      <w:r w:rsidR="00454A7B" w:rsidRPr="005577C4">
        <w:t xml:space="preserve"> Commissioner (hereinafter </w:t>
      </w:r>
      <w:r w:rsidR="00240249" w:rsidRPr="005577C4">
        <w:t>referred to</w:t>
      </w:r>
      <w:r w:rsidR="00454A7B" w:rsidRPr="005577C4">
        <w:t xml:space="preserve"> as the Commissioner).  </w:t>
      </w:r>
    </w:p>
    <w:p w:rsidR="00622A20" w:rsidRPr="005577C4" w:rsidRDefault="00622A20" w:rsidP="00622A20">
      <w:pPr>
        <w:pStyle w:val="ListParagraph"/>
      </w:pPr>
    </w:p>
    <w:p w:rsidR="00454A7B" w:rsidRPr="005577C4" w:rsidRDefault="00454A7B" w:rsidP="007963CC">
      <w:pPr>
        <w:pStyle w:val="ListParagraph"/>
        <w:spacing w:line="480" w:lineRule="auto"/>
        <w:ind w:left="1134"/>
        <w:jc w:val="both"/>
      </w:pPr>
      <w:r w:rsidRPr="005577C4">
        <w:t>The report to the Commissioner (annexure AM6) is dated 25</w:t>
      </w:r>
      <w:r w:rsidR="00A32569" w:rsidRPr="005577C4">
        <w:rPr>
          <w:vertAlign w:val="superscript"/>
        </w:rPr>
        <w:t>th</w:t>
      </w:r>
      <w:r w:rsidRPr="005577C4">
        <w:t xml:space="preserve"> March 2010.  The Commissioner w</w:t>
      </w:r>
      <w:r w:rsidR="00BE7E0B" w:rsidRPr="005577C4">
        <w:t xml:space="preserve">as called upon to exercise his </w:t>
      </w:r>
      <w:r w:rsidR="00BE7E0B" w:rsidRPr="005577C4">
        <w:rPr>
          <w:i/>
        </w:rPr>
        <w:t>quasi</w:t>
      </w:r>
      <w:r w:rsidR="00385A58" w:rsidRPr="005577C4">
        <w:t>-</w:t>
      </w:r>
      <w:r w:rsidR="00BE7E0B" w:rsidRPr="005577C4">
        <w:t xml:space="preserve"> </w:t>
      </w:r>
      <w:r w:rsidR="00BE7E0B" w:rsidRPr="005577C4">
        <w:rPr>
          <w:i/>
        </w:rPr>
        <w:t>judicial</w:t>
      </w:r>
      <w:r w:rsidR="00BE7E0B" w:rsidRPr="005577C4">
        <w:t xml:space="preserve"> powers</w:t>
      </w:r>
      <w:r w:rsidR="00A32569" w:rsidRPr="005577C4">
        <w:t xml:space="preserve"> as contained in section 26 </w:t>
      </w:r>
      <w:proofErr w:type="gramStart"/>
      <w:r w:rsidR="00A32569" w:rsidRPr="005577C4">
        <w:t>of  t</w:t>
      </w:r>
      <w:r w:rsidR="00BE7E0B" w:rsidRPr="005577C4">
        <w:t>he</w:t>
      </w:r>
      <w:proofErr w:type="gramEnd"/>
      <w:r w:rsidR="00BE7E0B" w:rsidRPr="005577C4">
        <w:t xml:space="preserve"> Employment Act No.5/1980 as amended.</w:t>
      </w:r>
    </w:p>
    <w:p w:rsidR="00BE7E0B" w:rsidRPr="005577C4" w:rsidRDefault="00BE7E0B" w:rsidP="007963CC">
      <w:pPr>
        <w:pStyle w:val="ListParagraph"/>
        <w:jc w:val="both"/>
      </w:pPr>
    </w:p>
    <w:p w:rsidR="00BE7E0B" w:rsidRPr="005577C4" w:rsidRDefault="00BE7E0B" w:rsidP="007963CC">
      <w:pPr>
        <w:pStyle w:val="ListParagraph"/>
        <w:numPr>
          <w:ilvl w:val="0"/>
          <w:numId w:val="1"/>
        </w:numPr>
        <w:spacing w:line="480" w:lineRule="auto"/>
        <w:ind w:left="1134" w:hanging="639"/>
        <w:jc w:val="both"/>
      </w:pPr>
      <w:r w:rsidRPr="005577C4">
        <w:t>There was an unexplained delay in the office of the Commissioner in dealing with the Applicant’s complaint (annexure AM 6).  A</w:t>
      </w:r>
      <w:r w:rsidR="00783195" w:rsidRPr="005577C4">
        <w:t>bout the</w:t>
      </w:r>
      <w:r w:rsidRPr="005577C4">
        <w:t xml:space="preserve"> 14</w:t>
      </w:r>
      <w:r w:rsidR="00385A58" w:rsidRPr="005577C4">
        <w:rPr>
          <w:vertAlign w:val="superscript"/>
        </w:rPr>
        <w:t>th</w:t>
      </w:r>
      <w:r w:rsidRPr="005577C4">
        <w:t xml:space="preserve"> October 2010, the Commissio</w:t>
      </w:r>
      <w:r w:rsidR="00385A58" w:rsidRPr="005577C4">
        <w:t>ner wrote to the parties inviting</w:t>
      </w:r>
      <w:r w:rsidRPr="005577C4">
        <w:t xml:space="preserve"> them to a meeting to discuss the Applicant’s complaint.  The meeting was held about the 20</w:t>
      </w:r>
      <w:r w:rsidRPr="005577C4">
        <w:rPr>
          <w:vertAlign w:val="superscript"/>
        </w:rPr>
        <w:t>th</w:t>
      </w:r>
      <w:r w:rsidRPr="005577C4">
        <w:t xml:space="preserve"> October 2010</w:t>
      </w:r>
      <w:r w:rsidR="00A714A6" w:rsidRPr="005577C4">
        <w:t>.</w:t>
      </w:r>
    </w:p>
    <w:p w:rsidR="00A714A6" w:rsidRPr="005577C4" w:rsidRDefault="00A714A6" w:rsidP="007963CC">
      <w:pPr>
        <w:pStyle w:val="ListParagraph"/>
        <w:jc w:val="both"/>
      </w:pPr>
    </w:p>
    <w:p w:rsidR="00A714A6" w:rsidRPr="005577C4" w:rsidRDefault="00A714A6" w:rsidP="007963CC">
      <w:pPr>
        <w:pStyle w:val="ListParagraph"/>
        <w:numPr>
          <w:ilvl w:val="0"/>
          <w:numId w:val="1"/>
        </w:numPr>
        <w:spacing w:line="480" w:lineRule="auto"/>
        <w:ind w:left="1134" w:hanging="639"/>
        <w:jc w:val="both"/>
      </w:pPr>
      <w:r w:rsidRPr="005577C4">
        <w:t xml:space="preserve"> About the 15</w:t>
      </w:r>
      <w:r w:rsidRPr="005577C4">
        <w:rPr>
          <w:vertAlign w:val="superscript"/>
        </w:rPr>
        <w:t>th</w:t>
      </w:r>
      <w:r w:rsidRPr="005577C4">
        <w:t xml:space="preserve"> November 2010 the Commissioner issued his report which is marked annexure AM 10.  The Commissioner ruled in the Applicant’s </w:t>
      </w:r>
      <w:proofErr w:type="spellStart"/>
      <w:r w:rsidRPr="005577C4">
        <w:t>favour</w:t>
      </w:r>
      <w:proofErr w:type="spellEnd"/>
      <w:r w:rsidRPr="005577C4">
        <w:t xml:space="preserve">.    The effect of the </w:t>
      </w:r>
      <w:r w:rsidR="00A32569" w:rsidRPr="005577C4">
        <w:t>Commissioner’s</w:t>
      </w:r>
      <w:r w:rsidRPr="005577C4">
        <w:t xml:space="preserve"> ruling was to reinstate the Ap</w:t>
      </w:r>
      <w:r w:rsidR="00240249" w:rsidRPr="005577C4">
        <w:t>plicant to the position of Extru</w:t>
      </w:r>
      <w:r w:rsidRPr="005577C4">
        <w:t>sion Supervisor in accordance with Section 26(3) of the Employment Act.</w:t>
      </w:r>
      <w:r w:rsidR="00385A58" w:rsidRPr="005577C4">
        <w:t xml:space="preserve">  </w:t>
      </w:r>
      <w:r w:rsidR="00CE3B76" w:rsidRPr="005577C4">
        <w:t>The reinstatement</w:t>
      </w:r>
      <w:r w:rsidR="00235939" w:rsidRPr="005577C4">
        <w:t xml:space="preserve"> of the </w:t>
      </w:r>
      <w:r w:rsidR="00235939" w:rsidRPr="005577C4">
        <w:rPr>
          <w:i/>
        </w:rPr>
        <w:t>status</w:t>
      </w:r>
      <w:r w:rsidR="00235939" w:rsidRPr="005577C4">
        <w:t xml:space="preserve"> </w:t>
      </w:r>
      <w:r w:rsidR="00235939" w:rsidRPr="005577C4">
        <w:rPr>
          <w:i/>
        </w:rPr>
        <w:t xml:space="preserve">quo </w:t>
      </w:r>
      <w:proofErr w:type="gramStart"/>
      <w:r w:rsidR="00235939" w:rsidRPr="005577C4">
        <w:rPr>
          <w:i/>
        </w:rPr>
        <w:t>ante</w:t>
      </w:r>
      <w:r w:rsidR="00235939" w:rsidRPr="005577C4">
        <w:t>,</w:t>
      </w:r>
      <w:proofErr w:type="gramEnd"/>
      <w:r w:rsidR="00235939" w:rsidRPr="005577C4">
        <w:t xml:space="preserve"> is automatic once the Commissioner rules in the Applicant’s </w:t>
      </w:r>
      <w:proofErr w:type="spellStart"/>
      <w:r w:rsidR="00235939" w:rsidRPr="005577C4">
        <w:t>favour</w:t>
      </w:r>
      <w:proofErr w:type="spellEnd"/>
      <w:r w:rsidR="00A32569" w:rsidRPr="005577C4">
        <w:t>.</w:t>
      </w:r>
    </w:p>
    <w:p w:rsidR="00A714A6" w:rsidRPr="005577C4" w:rsidRDefault="00A714A6" w:rsidP="007963CC">
      <w:pPr>
        <w:pStyle w:val="ListParagraph"/>
        <w:jc w:val="both"/>
      </w:pPr>
    </w:p>
    <w:p w:rsidR="00622A20" w:rsidRPr="005577C4" w:rsidRDefault="00A714A6" w:rsidP="007963CC">
      <w:pPr>
        <w:pStyle w:val="ListParagraph"/>
        <w:numPr>
          <w:ilvl w:val="0"/>
          <w:numId w:val="1"/>
        </w:numPr>
        <w:spacing w:line="480" w:lineRule="auto"/>
        <w:ind w:left="1134" w:hanging="639"/>
        <w:jc w:val="both"/>
      </w:pPr>
      <w:r w:rsidRPr="005577C4">
        <w:t xml:space="preserve">The </w:t>
      </w:r>
      <w:r w:rsidR="00385A58" w:rsidRPr="005577C4">
        <w:t>R</w:t>
      </w:r>
      <w:r w:rsidRPr="005577C4">
        <w:t>espondent failed or refused to comply with the Commissioner’s ruling.</w:t>
      </w:r>
      <w:r w:rsidR="00385A58" w:rsidRPr="005577C4">
        <w:t xml:space="preserve">  In particular, the </w:t>
      </w:r>
      <w:r w:rsidR="00A32569" w:rsidRPr="005577C4">
        <w:t>Respondent refused</w:t>
      </w:r>
      <w:r w:rsidR="00385A58" w:rsidRPr="005577C4">
        <w:t xml:space="preserve"> to reinstate the Applicant. </w:t>
      </w:r>
      <w:r w:rsidRPr="005577C4">
        <w:t xml:space="preserve"> </w:t>
      </w:r>
    </w:p>
    <w:p w:rsidR="00622A20" w:rsidRPr="005577C4" w:rsidRDefault="00622A20" w:rsidP="00622A20">
      <w:pPr>
        <w:pStyle w:val="ListParagraph"/>
      </w:pPr>
    </w:p>
    <w:p w:rsidR="00A714A6" w:rsidRPr="005577C4" w:rsidRDefault="00A714A6" w:rsidP="00FF04E6">
      <w:pPr>
        <w:pStyle w:val="ListParagraph"/>
        <w:spacing w:line="480" w:lineRule="auto"/>
        <w:ind w:left="1134"/>
        <w:jc w:val="both"/>
      </w:pPr>
      <w:r w:rsidRPr="005577C4">
        <w:t xml:space="preserve"> By letter dated 16</w:t>
      </w:r>
      <w:r w:rsidRPr="005577C4">
        <w:rPr>
          <w:vertAlign w:val="superscript"/>
        </w:rPr>
        <w:t>th</w:t>
      </w:r>
      <w:r w:rsidRPr="005577C4">
        <w:t xml:space="preserve"> November 2010 (annexure AM11) </w:t>
      </w:r>
      <w:r w:rsidR="00385A58" w:rsidRPr="005577C4">
        <w:t>the</w:t>
      </w:r>
      <w:r w:rsidRPr="005577C4">
        <w:t xml:space="preserve"> Respondent was implored (by the Applicant), to comply with the ruling, but to no avail.  Thereafter, on the 15</w:t>
      </w:r>
      <w:r w:rsidRPr="005577C4">
        <w:rPr>
          <w:vertAlign w:val="superscript"/>
        </w:rPr>
        <w:t>th</w:t>
      </w:r>
      <w:r w:rsidRPr="005577C4">
        <w:t xml:space="preserve"> February 2011, the Applicant instituted an application before Court, inter alia, to compel the Respondent to comply with the </w:t>
      </w:r>
      <w:r w:rsidRPr="005577C4">
        <w:lastRenderedPageBreak/>
        <w:t>Commissioner’s ruling.  The application was opposed.  The Respondent raised points of law and further pleaded over on the merits.</w:t>
      </w:r>
    </w:p>
    <w:p w:rsidR="00A714A6" w:rsidRPr="005577C4" w:rsidRDefault="00A714A6" w:rsidP="007963CC">
      <w:pPr>
        <w:pStyle w:val="ListParagraph"/>
        <w:jc w:val="both"/>
      </w:pPr>
    </w:p>
    <w:p w:rsidR="00A714A6" w:rsidRPr="005577C4" w:rsidRDefault="00385A58" w:rsidP="007963CC">
      <w:pPr>
        <w:pStyle w:val="ListParagraph"/>
        <w:numPr>
          <w:ilvl w:val="0"/>
          <w:numId w:val="1"/>
        </w:numPr>
        <w:spacing w:line="480" w:lineRule="auto"/>
        <w:jc w:val="both"/>
      </w:pPr>
      <w:r w:rsidRPr="005577C4">
        <w:t xml:space="preserve">    The  Applicant</w:t>
      </w:r>
      <w:r w:rsidR="00A32569" w:rsidRPr="005577C4">
        <w:t>’s prayers</w:t>
      </w:r>
      <w:r w:rsidR="00A714A6" w:rsidRPr="005577C4">
        <w:t xml:space="preserve"> in the Notice of Motion read as follows:</w:t>
      </w:r>
    </w:p>
    <w:p w:rsidR="00A714A6" w:rsidRPr="005577C4" w:rsidRDefault="00153107" w:rsidP="007963CC">
      <w:pPr>
        <w:pStyle w:val="ListParagraph"/>
        <w:spacing w:line="480" w:lineRule="auto"/>
        <w:ind w:left="1843" w:hanging="1123"/>
        <w:jc w:val="both"/>
        <w:rPr>
          <w:i/>
        </w:rPr>
      </w:pPr>
      <w:r w:rsidRPr="005577C4">
        <w:t xml:space="preserve">          </w:t>
      </w:r>
      <w:r w:rsidRPr="005577C4">
        <w:rPr>
          <w:i/>
        </w:rPr>
        <w:t xml:space="preserve">“ 1. An order directing the Respondent to comply with the Department of </w:t>
      </w:r>
      <w:proofErr w:type="spellStart"/>
      <w:r w:rsidRPr="005577C4">
        <w:rPr>
          <w:i/>
        </w:rPr>
        <w:t>Labour’s</w:t>
      </w:r>
      <w:proofErr w:type="spellEnd"/>
      <w:r w:rsidRPr="005577C4">
        <w:rPr>
          <w:i/>
        </w:rPr>
        <w:t xml:space="preserve"> Opinion report issued by the Commissioner of </w:t>
      </w:r>
      <w:proofErr w:type="spellStart"/>
      <w:r w:rsidRPr="005577C4">
        <w:rPr>
          <w:i/>
        </w:rPr>
        <w:t>Labour</w:t>
      </w:r>
      <w:proofErr w:type="spellEnd"/>
      <w:r w:rsidRPr="005577C4">
        <w:rPr>
          <w:i/>
        </w:rPr>
        <w:t xml:space="preserve"> in terms of Section 26 of the Employment Act, 1980.</w:t>
      </w:r>
    </w:p>
    <w:p w:rsidR="00153107" w:rsidRPr="005577C4" w:rsidRDefault="00153107" w:rsidP="007963CC">
      <w:pPr>
        <w:pStyle w:val="ListParagraph"/>
        <w:spacing w:line="480" w:lineRule="auto"/>
        <w:ind w:left="1843" w:hanging="1123"/>
        <w:jc w:val="both"/>
        <w:rPr>
          <w:i/>
        </w:rPr>
      </w:pPr>
      <w:r w:rsidRPr="005577C4">
        <w:rPr>
          <w:i/>
        </w:rPr>
        <w:t xml:space="preserve">            2.  Payment of the underpayment of E1</w:t>
      </w:r>
      <w:proofErr w:type="gramStart"/>
      <w:r w:rsidRPr="005577C4">
        <w:rPr>
          <w:i/>
        </w:rPr>
        <w:t>,731.00</w:t>
      </w:r>
      <w:proofErr w:type="gramEnd"/>
      <w:r w:rsidRPr="005577C4">
        <w:rPr>
          <w:i/>
        </w:rPr>
        <w:t xml:space="preserve"> ( One Thousand Seven hundred and Thirty One </w:t>
      </w:r>
      <w:proofErr w:type="spellStart"/>
      <w:r w:rsidRPr="005577C4">
        <w:rPr>
          <w:i/>
        </w:rPr>
        <w:t>Emalangeni</w:t>
      </w:r>
      <w:proofErr w:type="spellEnd"/>
      <w:r w:rsidRPr="005577C4">
        <w:rPr>
          <w:i/>
        </w:rPr>
        <w:t>) per month to the date the matter is settled, from December, 2009 to date.</w:t>
      </w:r>
    </w:p>
    <w:p w:rsidR="00153107" w:rsidRPr="005577C4" w:rsidRDefault="00153107" w:rsidP="007963CC">
      <w:pPr>
        <w:pStyle w:val="ListParagraph"/>
        <w:spacing w:line="480" w:lineRule="auto"/>
        <w:ind w:left="2127" w:hanging="567"/>
        <w:jc w:val="both"/>
        <w:rPr>
          <w:i/>
        </w:rPr>
      </w:pPr>
      <w:r w:rsidRPr="005577C4">
        <w:rPr>
          <w:i/>
        </w:rPr>
        <w:t xml:space="preserve"> 3.  </w:t>
      </w:r>
      <w:r w:rsidR="00783195" w:rsidRPr="005577C4">
        <w:rPr>
          <w:i/>
        </w:rPr>
        <w:t xml:space="preserve">  </w:t>
      </w:r>
      <w:r w:rsidRPr="005577C4">
        <w:rPr>
          <w:i/>
        </w:rPr>
        <w:t>That the purported unilateral variation of Applicant’s post from that</w:t>
      </w:r>
      <w:r w:rsidR="00240249" w:rsidRPr="005577C4">
        <w:rPr>
          <w:i/>
        </w:rPr>
        <w:t xml:space="preserve"> of Extrusion Supervisor to Extru</w:t>
      </w:r>
      <w:r w:rsidRPr="005577C4">
        <w:rPr>
          <w:i/>
        </w:rPr>
        <w:t xml:space="preserve">sion Operator by the Respondent be  and is hereby declared unlawful and unfair </w:t>
      </w:r>
      <w:proofErr w:type="spellStart"/>
      <w:r w:rsidRPr="005577C4">
        <w:rPr>
          <w:i/>
        </w:rPr>
        <w:t>Labour</w:t>
      </w:r>
      <w:proofErr w:type="spellEnd"/>
      <w:r w:rsidRPr="005577C4">
        <w:rPr>
          <w:i/>
        </w:rPr>
        <w:t xml:space="preserve"> practices and therefore set aside, as per the Commissioner of </w:t>
      </w:r>
      <w:proofErr w:type="spellStart"/>
      <w:r w:rsidRPr="005577C4">
        <w:rPr>
          <w:i/>
        </w:rPr>
        <w:t>Labour’s</w:t>
      </w:r>
      <w:proofErr w:type="spellEnd"/>
      <w:r w:rsidRPr="005577C4">
        <w:rPr>
          <w:i/>
        </w:rPr>
        <w:t xml:space="preserve"> report.</w:t>
      </w:r>
    </w:p>
    <w:p w:rsidR="00783195" w:rsidRPr="005577C4" w:rsidRDefault="00783195" w:rsidP="007963CC">
      <w:pPr>
        <w:pStyle w:val="ListParagraph"/>
        <w:spacing w:line="480" w:lineRule="auto"/>
        <w:ind w:left="1843" w:hanging="142"/>
        <w:jc w:val="both"/>
        <w:rPr>
          <w:i/>
        </w:rPr>
      </w:pPr>
      <w:r w:rsidRPr="005577C4">
        <w:rPr>
          <w:i/>
        </w:rPr>
        <w:t>4.   That the Respondent be ordered to pay costs of suit.</w:t>
      </w:r>
    </w:p>
    <w:p w:rsidR="00783195" w:rsidRPr="005577C4" w:rsidRDefault="00783195" w:rsidP="007963CC">
      <w:pPr>
        <w:pStyle w:val="ListParagraph"/>
        <w:spacing w:line="480" w:lineRule="auto"/>
        <w:ind w:left="1843" w:hanging="283"/>
        <w:jc w:val="both"/>
        <w:rPr>
          <w:i/>
        </w:rPr>
      </w:pPr>
      <w:r w:rsidRPr="005577C4">
        <w:rPr>
          <w:i/>
        </w:rPr>
        <w:t xml:space="preserve">  5.    Further and/or alternative relief.”</w:t>
      </w:r>
    </w:p>
    <w:p w:rsidR="00A714A6" w:rsidRPr="005577C4" w:rsidRDefault="00783195" w:rsidP="007963CC">
      <w:pPr>
        <w:pStyle w:val="ListParagraph"/>
        <w:spacing w:line="480" w:lineRule="auto"/>
        <w:ind w:left="855"/>
        <w:jc w:val="both"/>
      </w:pPr>
      <w:r w:rsidRPr="005577C4">
        <w:tab/>
      </w:r>
      <w:r w:rsidRPr="005577C4">
        <w:tab/>
      </w:r>
      <w:r w:rsidRPr="005577C4">
        <w:tab/>
        <w:t>(Record page 1)</w:t>
      </w:r>
    </w:p>
    <w:p w:rsidR="00783195" w:rsidRPr="005577C4" w:rsidRDefault="00783195" w:rsidP="007963CC">
      <w:pPr>
        <w:pStyle w:val="ListParagraph"/>
        <w:spacing w:line="480" w:lineRule="auto"/>
        <w:ind w:left="855"/>
        <w:jc w:val="both"/>
      </w:pPr>
    </w:p>
    <w:p w:rsidR="00783195" w:rsidRPr="005577C4" w:rsidRDefault="00240249" w:rsidP="007963CC">
      <w:pPr>
        <w:pStyle w:val="ListParagraph"/>
        <w:numPr>
          <w:ilvl w:val="0"/>
          <w:numId w:val="1"/>
        </w:numPr>
        <w:spacing w:line="480" w:lineRule="auto"/>
        <w:ind w:left="1276" w:hanging="781"/>
        <w:jc w:val="both"/>
      </w:pPr>
      <w:r w:rsidRPr="005577C4">
        <w:t>T</w:t>
      </w:r>
      <w:r w:rsidR="00783195" w:rsidRPr="005577C4">
        <w:t>he matter was argued and judgment was handed down on the 20</w:t>
      </w:r>
      <w:r w:rsidR="00783195" w:rsidRPr="005577C4">
        <w:rPr>
          <w:vertAlign w:val="superscript"/>
        </w:rPr>
        <w:t>th</w:t>
      </w:r>
      <w:r w:rsidR="00783195" w:rsidRPr="005577C4">
        <w:t xml:space="preserve"> November 2013, under reference SZIC 33/2013 (Case No.15/2011).  The Court found </w:t>
      </w:r>
      <w:r w:rsidR="00783195" w:rsidRPr="005577C4">
        <w:rPr>
          <w:i/>
        </w:rPr>
        <w:t>inter alia</w:t>
      </w:r>
      <w:r w:rsidR="00783195" w:rsidRPr="005577C4">
        <w:t xml:space="preserve">, that the Applicant filed his complaint with the Commissioner out of time </w:t>
      </w:r>
      <w:r w:rsidR="00385A58" w:rsidRPr="005577C4">
        <w:t xml:space="preserve">i.e.  </w:t>
      </w:r>
      <w:proofErr w:type="gramStart"/>
      <w:r w:rsidR="00C130E1" w:rsidRPr="005577C4">
        <w:t>contrary</w:t>
      </w:r>
      <w:proofErr w:type="gramEnd"/>
      <w:r w:rsidR="00385A58" w:rsidRPr="005577C4">
        <w:t xml:space="preserve"> to Section 26(</w:t>
      </w:r>
      <w:r w:rsidR="00A32569" w:rsidRPr="005577C4">
        <w:t>2</w:t>
      </w:r>
      <w:r w:rsidR="00783195" w:rsidRPr="005577C4">
        <w:t>) of the Employment Act.  The Commissioner was</w:t>
      </w:r>
      <w:r w:rsidR="001E5422" w:rsidRPr="005577C4">
        <w:t xml:space="preserve"> therefore</w:t>
      </w:r>
      <w:r w:rsidR="00783195" w:rsidRPr="005577C4">
        <w:t xml:space="preserve"> not seized with jurisdiction when he heard the matter.  The </w:t>
      </w:r>
      <w:r w:rsidR="00A32569" w:rsidRPr="005577C4">
        <w:t>Responden</w:t>
      </w:r>
      <w:r w:rsidR="00783195" w:rsidRPr="005577C4">
        <w:t xml:space="preserve">t’s point </w:t>
      </w:r>
      <w:r w:rsidR="00783195" w:rsidRPr="005577C4">
        <w:rPr>
          <w:i/>
        </w:rPr>
        <w:t xml:space="preserve">in </w:t>
      </w:r>
      <w:proofErr w:type="spellStart"/>
      <w:r w:rsidR="00783195" w:rsidRPr="005577C4">
        <w:rPr>
          <w:i/>
        </w:rPr>
        <w:t>limine</w:t>
      </w:r>
      <w:proofErr w:type="spellEnd"/>
      <w:r w:rsidR="00783195" w:rsidRPr="005577C4">
        <w:t xml:space="preserve"> which challenged prayer 1, of the Notice of Motion was upheld.     Prayer 1 of the Notice of Motion was accordingly </w:t>
      </w:r>
      <w:r w:rsidR="00783195" w:rsidRPr="005577C4">
        <w:lastRenderedPageBreak/>
        <w:t>dismissed.  The Court ordered the parties to pr</w:t>
      </w:r>
      <w:r w:rsidR="00A32569" w:rsidRPr="005577C4">
        <w:t xml:space="preserve">oceed to trial in respect </w:t>
      </w:r>
      <w:r w:rsidR="001E5422" w:rsidRPr="005577C4">
        <w:t>to prayers</w:t>
      </w:r>
      <w:r w:rsidR="00A32569" w:rsidRPr="005577C4">
        <w:t xml:space="preserve"> 2 and 3 of the Notice of M</w:t>
      </w:r>
      <w:r w:rsidR="00783195" w:rsidRPr="005577C4">
        <w:t>otion.</w:t>
      </w:r>
    </w:p>
    <w:p w:rsidR="005B1EE7" w:rsidRPr="005577C4" w:rsidRDefault="005B1EE7" w:rsidP="007963CC">
      <w:pPr>
        <w:pStyle w:val="ListParagraph"/>
        <w:spacing w:line="480" w:lineRule="auto"/>
        <w:ind w:left="1276"/>
        <w:jc w:val="both"/>
      </w:pPr>
    </w:p>
    <w:p w:rsidR="00783195" w:rsidRPr="005577C4" w:rsidRDefault="00240249" w:rsidP="007963CC">
      <w:pPr>
        <w:pStyle w:val="ListParagraph"/>
        <w:numPr>
          <w:ilvl w:val="0"/>
          <w:numId w:val="1"/>
        </w:numPr>
        <w:spacing w:line="480" w:lineRule="auto"/>
        <w:ind w:left="1276" w:hanging="781"/>
        <w:jc w:val="both"/>
      </w:pPr>
      <w:r w:rsidRPr="005577C4">
        <w:t>The effect of the judgment of this Court dated 20</w:t>
      </w:r>
      <w:r w:rsidRPr="005577C4">
        <w:rPr>
          <w:vertAlign w:val="superscript"/>
        </w:rPr>
        <w:t>th</w:t>
      </w:r>
      <w:r w:rsidRPr="005577C4">
        <w:t xml:space="preserve"> November 2013, is that the Commissioner’s ruling (annexure AM10</w:t>
      </w:r>
      <w:r w:rsidR="00235939" w:rsidRPr="005577C4">
        <w:t>) was</w:t>
      </w:r>
      <w:r w:rsidRPr="005577C4">
        <w:t xml:space="preserve"> set aside.  As a result, the Applicant is unable to access the protection that is offered in Section </w:t>
      </w:r>
      <w:r w:rsidR="00235939" w:rsidRPr="005577C4">
        <w:t>26 (3) of the Employment Act; that</w:t>
      </w:r>
      <w:r w:rsidRPr="005577C4">
        <w:t xml:space="preserve"> is restoration of the </w:t>
      </w:r>
      <w:r w:rsidRPr="005577C4">
        <w:rPr>
          <w:i/>
        </w:rPr>
        <w:t>status quo ante.</w:t>
      </w:r>
    </w:p>
    <w:p w:rsidR="005B1EE7" w:rsidRPr="005577C4" w:rsidRDefault="005B1EE7" w:rsidP="007963CC">
      <w:pPr>
        <w:pStyle w:val="ListParagraph"/>
        <w:jc w:val="both"/>
      </w:pPr>
    </w:p>
    <w:p w:rsidR="00240249" w:rsidRPr="005577C4" w:rsidRDefault="00385A58" w:rsidP="007963CC">
      <w:pPr>
        <w:pStyle w:val="ListParagraph"/>
        <w:numPr>
          <w:ilvl w:val="0"/>
          <w:numId w:val="1"/>
        </w:numPr>
        <w:spacing w:line="480" w:lineRule="auto"/>
        <w:ind w:left="1276" w:hanging="781"/>
        <w:jc w:val="both"/>
      </w:pPr>
      <w:r w:rsidRPr="005577C4">
        <w:t>After the Court had</w:t>
      </w:r>
      <w:r w:rsidR="00240249" w:rsidRPr="005577C4">
        <w:t xml:space="preserve"> issued its judgment, the Respondent raised another point of law which reads as follows:</w:t>
      </w:r>
    </w:p>
    <w:p w:rsidR="00240249" w:rsidRPr="005577C4" w:rsidRDefault="00240249" w:rsidP="007963CC">
      <w:pPr>
        <w:pStyle w:val="ListParagraph"/>
        <w:spacing w:line="480" w:lineRule="auto"/>
        <w:ind w:left="1276"/>
        <w:jc w:val="both"/>
        <w:rPr>
          <w:i/>
        </w:rPr>
      </w:pPr>
      <w:r w:rsidRPr="005577C4">
        <w:rPr>
          <w:i/>
        </w:rPr>
        <w:t xml:space="preserve">       </w:t>
      </w:r>
      <w:proofErr w:type="gramStart"/>
      <w:r w:rsidRPr="005577C4">
        <w:rPr>
          <w:i/>
        </w:rPr>
        <w:t>“ NOTICE</w:t>
      </w:r>
      <w:proofErr w:type="gramEnd"/>
      <w:r w:rsidRPr="005577C4">
        <w:rPr>
          <w:i/>
        </w:rPr>
        <w:t xml:space="preserve"> TO RAISE POINT OF LAW</w:t>
      </w:r>
    </w:p>
    <w:p w:rsidR="00FB48FD" w:rsidRPr="005577C4" w:rsidRDefault="00FB48FD" w:rsidP="007963CC">
      <w:pPr>
        <w:pStyle w:val="ListParagraph"/>
        <w:spacing w:line="480" w:lineRule="auto"/>
        <w:ind w:left="1843" w:hanging="567"/>
        <w:jc w:val="both"/>
        <w:rPr>
          <w:i/>
        </w:rPr>
      </w:pPr>
      <w:r w:rsidRPr="005577C4">
        <w:rPr>
          <w:i/>
        </w:rPr>
        <w:t xml:space="preserve">       The Respondent intends to raise the following point of law at </w:t>
      </w:r>
      <w:proofErr w:type="gramStart"/>
      <w:r w:rsidRPr="005577C4">
        <w:rPr>
          <w:i/>
        </w:rPr>
        <w:t xml:space="preserve">the </w:t>
      </w:r>
      <w:r w:rsidR="005B1EE7" w:rsidRPr="005577C4">
        <w:rPr>
          <w:i/>
        </w:rPr>
        <w:t xml:space="preserve"> </w:t>
      </w:r>
      <w:r w:rsidRPr="005577C4">
        <w:rPr>
          <w:i/>
        </w:rPr>
        <w:t>hearing</w:t>
      </w:r>
      <w:proofErr w:type="gramEnd"/>
      <w:r w:rsidRPr="005577C4">
        <w:rPr>
          <w:i/>
        </w:rPr>
        <w:t xml:space="preserve"> of this matter.</w:t>
      </w:r>
    </w:p>
    <w:p w:rsidR="00FB48FD" w:rsidRPr="005577C4" w:rsidRDefault="005B1EE7" w:rsidP="007963CC">
      <w:pPr>
        <w:pStyle w:val="ListParagraph"/>
        <w:spacing w:line="480" w:lineRule="auto"/>
        <w:ind w:left="1701" w:hanging="425"/>
        <w:jc w:val="both"/>
        <w:rPr>
          <w:i/>
        </w:rPr>
      </w:pPr>
      <w:r w:rsidRPr="005577C4">
        <w:rPr>
          <w:i/>
        </w:rPr>
        <w:t xml:space="preserve">      </w:t>
      </w:r>
      <w:r w:rsidR="00FB48FD" w:rsidRPr="005577C4">
        <w:rPr>
          <w:i/>
        </w:rPr>
        <w:t xml:space="preserve">The </w:t>
      </w:r>
      <w:proofErr w:type="spellStart"/>
      <w:r w:rsidR="00FB48FD" w:rsidRPr="005577C4">
        <w:rPr>
          <w:i/>
        </w:rPr>
        <w:t>Honourable</w:t>
      </w:r>
      <w:proofErr w:type="spellEnd"/>
      <w:r w:rsidR="00FB48FD" w:rsidRPr="005577C4">
        <w:rPr>
          <w:i/>
        </w:rPr>
        <w:t xml:space="preserve"> Court in its </w:t>
      </w:r>
      <w:proofErr w:type="gramStart"/>
      <w:r w:rsidR="00FB48FD" w:rsidRPr="005577C4">
        <w:rPr>
          <w:i/>
        </w:rPr>
        <w:t>Judgment  of</w:t>
      </w:r>
      <w:proofErr w:type="gramEnd"/>
      <w:r w:rsidR="00FB48FD" w:rsidRPr="005577C4">
        <w:rPr>
          <w:i/>
        </w:rPr>
        <w:t xml:space="preserve"> the 20</w:t>
      </w:r>
      <w:r w:rsidR="00FB48FD" w:rsidRPr="005577C4">
        <w:rPr>
          <w:i/>
          <w:vertAlign w:val="superscript"/>
        </w:rPr>
        <w:t>th</w:t>
      </w:r>
      <w:r w:rsidR="00FB48FD" w:rsidRPr="005577C4">
        <w:rPr>
          <w:i/>
        </w:rPr>
        <w:t xml:space="preserve"> November </w:t>
      </w:r>
      <w:r w:rsidRPr="005577C4">
        <w:rPr>
          <w:i/>
        </w:rPr>
        <w:t xml:space="preserve">  </w:t>
      </w:r>
      <w:r w:rsidR="00FB48FD" w:rsidRPr="005577C4">
        <w:rPr>
          <w:i/>
        </w:rPr>
        <w:t>2013 found that, and it was common cause that the changes complained of by the Applicant were terms and conditions of employment contained in a form in terms of Section 22 of the Employment Act.</w:t>
      </w:r>
    </w:p>
    <w:p w:rsidR="00FB48FD" w:rsidRPr="005577C4" w:rsidRDefault="005B1EE7" w:rsidP="007963CC">
      <w:pPr>
        <w:pStyle w:val="ListParagraph"/>
        <w:spacing w:line="480" w:lineRule="auto"/>
        <w:ind w:left="1560"/>
        <w:jc w:val="both"/>
        <w:rPr>
          <w:i/>
        </w:rPr>
      </w:pPr>
      <w:r w:rsidRPr="005577C4">
        <w:rPr>
          <w:i/>
        </w:rPr>
        <w:t xml:space="preserve"> </w:t>
      </w:r>
      <w:r w:rsidR="00FB48FD" w:rsidRPr="005577C4">
        <w:rPr>
          <w:i/>
        </w:rPr>
        <w:t xml:space="preserve">The Court found that the employee failed to comply with Section </w:t>
      </w:r>
      <w:r w:rsidRPr="005577C4">
        <w:rPr>
          <w:i/>
        </w:rPr>
        <w:t xml:space="preserve">  </w:t>
      </w:r>
      <w:r w:rsidR="00385A58" w:rsidRPr="005577C4">
        <w:rPr>
          <w:i/>
        </w:rPr>
        <w:t>26[2]</w:t>
      </w:r>
      <w:r w:rsidR="00FB48FD" w:rsidRPr="005577C4">
        <w:rPr>
          <w:i/>
        </w:rPr>
        <w:t xml:space="preserve"> of the Employment Act by filing</w:t>
      </w:r>
      <w:r w:rsidR="00385A58" w:rsidRPr="005577C4">
        <w:rPr>
          <w:i/>
        </w:rPr>
        <w:t xml:space="preserve"> [failing to file]</w:t>
      </w:r>
      <w:r w:rsidR="00FB48FD" w:rsidRPr="005577C4">
        <w:rPr>
          <w:i/>
        </w:rPr>
        <w:t xml:space="preserve"> his complaint within 14 days of notification of the changes in his terms and conditions </w:t>
      </w:r>
      <w:r w:rsidR="00385A58" w:rsidRPr="005577C4">
        <w:rPr>
          <w:i/>
        </w:rPr>
        <w:t>of employment</w:t>
      </w:r>
      <w:r w:rsidR="00FB48FD" w:rsidRPr="005577C4">
        <w:rPr>
          <w:i/>
        </w:rPr>
        <w:t>.</w:t>
      </w:r>
    </w:p>
    <w:p w:rsidR="00FB48FD" w:rsidRPr="005577C4" w:rsidRDefault="005B1EE7" w:rsidP="007963CC">
      <w:pPr>
        <w:pStyle w:val="ListParagraph"/>
        <w:spacing w:line="480" w:lineRule="auto"/>
        <w:ind w:left="1560" w:hanging="284"/>
        <w:jc w:val="both"/>
        <w:rPr>
          <w:i/>
        </w:rPr>
      </w:pPr>
      <w:r w:rsidRPr="005577C4">
        <w:rPr>
          <w:i/>
        </w:rPr>
        <w:t xml:space="preserve">    </w:t>
      </w:r>
      <w:r w:rsidR="00FB48FD" w:rsidRPr="005577C4">
        <w:rPr>
          <w:i/>
        </w:rPr>
        <w:t xml:space="preserve">In terms of Section 26(1) of the Employment </w:t>
      </w:r>
      <w:r w:rsidR="00AC6E80" w:rsidRPr="005577C4">
        <w:rPr>
          <w:i/>
        </w:rPr>
        <w:t>Act, therefore</w:t>
      </w:r>
      <w:r w:rsidR="00FB48FD" w:rsidRPr="005577C4">
        <w:rPr>
          <w:i/>
        </w:rPr>
        <w:t xml:space="preserve">, as a </w:t>
      </w:r>
      <w:r w:rsidRPr="005577C4">
        <w:rPr>
          <w:i/>
        </w:rPr>
        <w:t xml:space="preserve">  </w:t>
      </w:r>
      <w:r w:rsidR="00FB48FD" w:rsidRPr="005577C4">
        <w:rPr>
          <w:i/>
        </w:rPr>
        <w:t>result of the failure to submit such complaint as aforesaid, the changes are “deemed to be effective and to be part of the terms of service of that employee.”</w:t>
      </w:r>
    </w:p>
    <w:p w:rsidR="00AC6E80" w:rsidRPr="005577C4" w:rsidRDefault="005B1EE7" w:rsidP="007963CC">
      <w:pPr>
        <w:pStyle w:val="ListParagraph"/>
        <w:spacing w:line="480" w:lineRule="auto"/>
        <w:ind w:left="1560" w:hanging="284"/>
        <w:jc w:val="both"/>
        <w:rPr>
          <w:i/>
        </w:rPr>
      </w:pPr>
      <w:r w:rsidRPr="005577C4">
        <w:rPr>
          <w:i/>
        </w:rPr>
        <w:t xml:space="preserve">      </w:t>
      </w:r>
      <w:r w:rsidR="00AC6E80" w:rsidRPr="005577C4">
        <w:rPr>
          <w:i/>
        </w:rPr>
        <w:t xml:space="preserve">In the circumstances there are no further issues remaining for the </w:t>
      </w:r>
      <w:r w:rsidRPr="005577C4">
        <w:rPr>
          <w:i/>
        </w:rPr>
        <w:t xml:space="preserve">  </w:t>
      </w:r>
      <w:r w:rsidR="00AC6E80" w:rsidRPr="005577C4">
        <w:rPr>
          <w:i/>
        </w:rPr>
        <w:t>Court to determine and the Applicant’s Application should be dismissed in its entirety.”</w:t>
      </w:r>
    </w:p>
    <w:p w:rsidR="00FB48FD" w:rsidRPr="005577C4" w:rsidRDefault="00FB48FD" w:rsidP="007963CC">
      <w:pPr>
        <w:pStyle w:val="ListParagraph"/>
        <w:spacing w:line="480" w:lineRule="auto"/>
        <w:ind w:left="1276"/>
        <w:jc w:val="both"/>
        <w:rPr>
          <w:i/>
        </w:rPr>
      </w:pPr>
    </w:p>
    <w:p w:rsidR="00BC43AB" w:rsidRPr="005577C4" w:rsidRDefault="00BC43AB" w:rsidP="007963CC">
      <w:pPr>
        <w:pStyle w:val="ListParagraph"/>
        <w:numPr>
          <w:ilvl w:val="0"/>
          <w:numId w:val="1"/>
        </w:numPr>
        <w:spacing w:line="480" w:lineRule="auto"/>
        <w:ind w:left="1276" w:hanging="781"/>
        <w:jc w:val="both"/>
      </w:pPr>
      <w:r w:rsidRPr="005577C4">
        <w:t xml:space="preserve">The Respondent’s point of law is predicated on the provision of section 26(1) of The Employment Act.  For the sake of completeness, the Court will reproduce Section </w:t>
      </w:r>
      <w:r w:rsidR="00385A58" w:rsidRPr="005577C4">
        <w:t xml:space="preserve">26 </w:t>
      </w:r>
      <w:r w:rsidRPr="005577C4">
        <w:t xml:space="preserve"> in full:</w:t>
      </w:r>
    </w:p>
    <w:p w:rsidR="00BC43AB" w:rsidRPr="005577C4" w:rsidRDefault="00BC43AB" w:rsidP="007963CC">
      <w:pPr>
        <w:pStyle w:val="ListParagraph"/>
        <w:spacing w:line="480" w:lineRule="auto"/>
        <w:ind w:left="855"/>
        <w:jc w:val="both"/>
        <w:rPr>
          <w:i/>
        </w:rPr>
      </w:pPr>
      <w:r w:rsidRPr="005577C4">
        <w:rPr>
          <w:i/>
        </w:rPr>
        <w:t xml:space="preserve">                </w:t>
      </w:r>
      <w:proofErr w:type="gramStart"/>
      <w:r w:rsidRPr="005577C4">
        <w:rPr>
          <w:i/>
        </w:rPr>
        <w:t>“ Changes</w:t>
      </w:r>
      <w:proofErr w:type="gramEnd"/>
      <w:r w:rsidRPr="005577C4">
        <w:rPr>
          <w:i/>
        </w:rPr>
        <w:t xml:space="preserve"> in terms of employment</w:t>
      </w:r>
    </w:p>
    <w:p w:rsidR="00BC43AB" w:rsidRPr="005577C4" w:rsidRDefault="00BC43AB" w:rsidP="007963CC">
      <w:pPr>
        <w:pStyle w:val="ListParagraph"/>
        <w:spacing w:line="480" w:lineRule="auto"/>
        <w:ind w:left="2835" w:hanging="1980"/>
        <w:jc w:val="both"/>
        <w:rPr>
          <w:i/>
        </w:rPr>
      </w:pPr>
      <w:r w:rsidRPr="005577C4">
        <w:rPr>
          <w:i/>
        </w:rPr>
        <w:t xml:space="preserve">                 26(1)</w:t>
      </w:r>
      <w:r w:rsidR="006C1E7E" w:rsidRPr="005577C4">
        <w:rPr>
          <w:i/>
        </w:rPr>
        <w:t xml:space="preserve">  Where the terms of employment specified in the copy of the form in the Second Schedule given to the employee under section 22 are changed, the employer shall notify the employee in writing specifying the changes which are being made and subject to the following subsections, the changed terms set out in the notification shall be deemed to be effective and to be part of the terms of service of that employee. </w:t>
      </w:r>
    </w:p>
    <w:p w:rsidR="00FF04E6" w:rsidRPr="005577C4" w:rsidRDefault="00BC43AB" w:rsidP="007963CC">
      <w:pPr>
        <w:tabs>
          <w:tab w:val="left" w:pos="1785"/>
        </w:tabs>
        <w:spacing w:line="480" w:lineRule="auto"/>
        <w:ind w:left="2835" w:hanging="2835"/>
        <w:jc w:val="both"/>
        <w:rPr>
          <w:i/>
        </w:rPr>
      </w:pPr>
      <w:r w:rsidRPr="005577C4">
        <w:rPr>
          <w:i/>
        </w:rPr>
        <w:tab/>
        <w:t xml:space="preserve">         (2)</w:t>
      </w:r>
      <w:r w:rsidR="006C1E7E" w:rsidRPr="005577C4">
        <w:rPr>
          <w:i/>
        </w:rPr>
        <w:t xml:space="preserve">   Where, in the employee’s opinion, the changes notified to him under subsection (1) would result in less </w:t>
      </w:r>
      <w:proofErr w:type="spellStart"/>
      <w:r w:rsidR="006C1E7E" w:rsidRPr="005577C4">
        <w:rPr>
          <w:i/>
        </w:rPr>
        <w:t>favourable</w:t>
      </w:r>
      <w:proofErr w:type="spellEnd"/>
      <w:r w:rsidR="006C1E7E" w:rsidRPr="005577C4">
        <w:rPr>
          <w:i/>
        </w:rPr>
        <w:t xml:space="preserve"> terms and conditions of employment than those previously enjoyed by him, the employee may, within fourteen days of such notification</w:t>
      </w:r>
      <w:r w:rsidR="00091452" w:rsidRPr="005577C4">
        <w:rPr>
          <w:i/>
        </w:rPr>
        <w:t xml:space="preserve">, request his employer, in writing, (sending a copy of the request to the </w:t>
      </w:r>
      <w:proofErr w:type="spellStart"/>
      <w:r w:rsidR="00091452" w:rsidRPr="005577C4">
        <w:rPr>
          <w:i/>
        </w:rPr>
        <w:t>Labour</w:t>
      </w:r>
      <w:proofErr w:type="spellEnd"/>
      <w:r w:rsidR="00091452" w:rsidRPr="005577C4">
        <w:rPr>
          <w:i/>
        </w:rPr>
        <w:t xml:space="preserve"> Commissioner), to submit to the </w:t>
      </w:r>
      <w:proofErr w:type="spellStart"/>
      <w:r w:rsidR="00091452" w:rsidRPr="005577C4">
        <w:rPr>
          <w:i/>
        </w:rPr>
        <w:t>Labour</w:t>
      </w:r>
      <w:proofErr w:type="spellEnd"/>
      <w:r w:rsidR="00091452" w:rsidRPr="005577C4">
        <w:rPr>
          <w:i/>
        </w:rPr>
        <w:t xml:space="preserve"> Commissioner a copy of the form given to him,</w:t>
      </w:r>
    </w:p>
    <w:p w:rsidR="00FF04E6" w:rsidRPr="005577C4" w:rsidRDefault="00FF04E6" w:rsidP="007963CC">
      <w:pPr>
        <w:tabs>
          <w:tab w:val="left" w:pos="1785"/>
        </w:tabs>
        <w:spacing w:line="480" w:lineRule="auto"/>
        <w:ind w:left="2835" w:hanging="2835"/>
        <w:jc w:val="both"/>
        <w:rPr>
          <w:i/>
        </w:rPr>
      </w:pPr>
      <w:r w:rsidRPr="005577C4">
        <w:rPr>
          <w:i/>
        </w:rPr>
        <w:tab/>
      </w:r>
      <w:r w:rsidRPr="005577C4">
        <w:rPr>
          <w:i/>
        </w:rPr>
        <w:tab/>
      </w:r>
    </w:p>
    <w:p w:rsidR="00BC43AB" w:rsidRPr="005577C4" w:rsidRDefault="00FF04E6" w:rsidP="007963CC">
      <w:pPr>
        <w:tabs>
          <w:tab w:val="left" w:pos="1785"/>
        </w:tabs>
        <w:spacing w:line="480" w:lineRule="auto"/>
        <w:ind w:left="2835" w:hanging="2835"/>
        <w:jc w:val="both"/>
        <w:rPr>
          <w:i/>
        </w:rPr>
      </w:pPr>
      <w:r w:rsidRPr="005577C4">
        <w:rPr>
          <w:i/>
        </w:rPr>
        <w:tab/>
      </w:r>
      <w:r w:rsidRPr="005577C4">
        <w:rPr>
          <w:i/>
        </w:rPr>
        <w:tab/>
      </w:r>
      <w:r w:rsidR="00091452" w:rsidRPr="005577C4">
        <w:rPr>
          <w:i/>
        </w:rPr>
        <w:t xml:space="preserve"> </w:t>
      </w:r>
      <w:proofErr w:type="gramStart"/>
      <w:r w:rsidR="00091452" w:rsidRPr="005577C4">
        <w:rPr>
          <w:i/>
        </w:rPr>
        <w:t>under</w:t>
      </w:r>
      <w:proofErr w:type="gramEnd"/>
      <w:r w:rsidR="00091452" w:rsidRPr="005577C4">
        <w:rPr>
          <w:i/>
        </w:rPr>
        <w:t xml:space="preserve"> Section 22, together with the notification provided under subsection (1) and the employer shall comply with the request within three days of it being received by him.</w:t>
      </w:r>
    </w:p>
    <w:p w:rsidR="00FB48FD" w:rsidRPr="005577C4" w:rsidRDefault="00091452" w:rsidP="007963CC">
      <w:pPr>
        <w:tabs>
          <w:tab w:val="left" w:pos="1785"/>
        </w:tabs>
        <w:spacing w:line="480" w:lineRule="auto"/>
        <w:ind w:left="2835" w:hanging="2835"/>
        <w:jc w:val="both"/>
        <w:rPr>
          <w:i/>
        </w:rPr>
      </w:pPr>
      <w:r w:rsidRPr="005577C4">
        <w:rPr>
          <w:i/>
        </w:rPr>
        <w:tab/>
        <w:t xml:space="preserve"> (3).        </w:t>
      </w:r>
      <w:proofErr w:type="gramStart"/>
      <w:r w:rsidRPr="005577C4">
        <w:rPr>
          <w:i/>
        </w:rPr>
        <w:t>On</w:t>
      </w:r>
      <w:proofErr w:type="gramEnd"/>
      <w:r w:rsidRPr="005577C4">
        <w:rPr>
          <w:i/>
        </w:rPr>
        <w:t xml:space="preserve"> receipt of the copy of the documents sent to him under subsection (2), the </w:t>
      </w:r>
      <w:proofErr w:type="spellStart"/>
      <w:r w:rsidRPr="005577C4">
        <w:rPr>
          <w:i/>
        </w:rPr>
        <w:t>Labour</w:t>
      </w:r>
      <w:proofErr w:type="spellEnd"/>
      <w:r w:rsidRPr="005577C4">
        <w:rPr>
          <w:i/>
        </w:rPr>
        <w:t xml:space="preserve"> Commissioner shall examine the </w:t>
      </w:r>
      <w:r w:rsidRPr="005577C4">
        <w:rPr>
          <w:i/>
        </w:rPr>
        <w:lastRenderedPageBreak/>
        <w:t xml:space="preserve">changes in the terms of employment contained in the notification.  Where, in his opinion, the changes would result in less </w:t>
      </w:r>
      <w:proofErr w:type="spellStart"/>
      <w:r w:rsidRPr="005577C4">
        <w:rPr>
          <w:i/>
        </w:rPr>
        <w:t>favourable</w:t>
      </w:r>
      <w:proofErr w:type="spellEnd"/>
      <w:r w:rsidRPr="005577C4">
        <w:rPr>
          <w:i/>
        </w:rPr>
        <w:t xml:space="preserve"> terms and conditions of employment than those enjoyed by the employee in question prior to the changes set out in the notification, the </w:t>
      </w:r>
      <w:proofErr w:type="spellStart"/>
      <w:r w:rsidRPr="005577C4">
        <w:rPr>
          <w:i/>
        </w:rPr>
        <w:t>Labour</w:t>
      </w:r>
      <w:proofErr w:type="spellEnd"/>
      <w:r w:rsidRPr="005577C4">
        <w:rPr>
          <w:i/>
        </w:rPr>
        <w:t xml:space="preserve"> Commissioner shall, within fourteen days of the receipt of the notification, inform the employer in writing of this opinion and the notification given to the employee under subsection (1) shall be void and of no effect.</w:t>
      </w:r>
    </w:p>
    <w:p w:rsidR="00540A1A" w:rsidRPr="005577C4" w:rsidRDefault="00FB48FD" w:rsidP="007963CC">
      <w:pPr>
        <w:tabs>
          <w:tab w:val="left" w:pos="1785"/>
        </w:tabs>
        <w:spacing w:line="480" w:lineRule="auto"/>
        <w:ind w:left="2835" w:hanging="2835"/>
        <w:jc w:val="both"/>
        <w:rPr>
          <w:i/>
        </w:rPr>
      </w:pPr>
      <w:r w:rsidRPr="005577C4">
        <w:rPr>
          <w:i/>
        </w:rPr>
        <w:tab/>
        <w:t xml:space="preserve">    (4)       Any person dissatisfied with any decision made by the </w:t>
      </w:r>
      <w:proofErr w:type="spellStart"/>
      <w:r w:rsidRPr="005577C4">
        <w:rPr>
          <w:i/>
        </w:rPr>
        <w:t>Labour</w:t>
      </w:r>
      <w:proofErr w:type="spellEnd"/>
      <w:r w:rsidRPr="005577C4">
        <w:rPr>
          <w:i/>
        </w:rPr>
        <w:t xml:space="preserve"> Commissioner under subsection (3) may apply in writing for a review to the </w:t>
      </w:r>
      <w:proofErr w:type="spellStart"/>
      <w:r w:rsidRPr="005577C4">
        <w:rPr>
          <w:i/>
        </w:rPr>
        <w:t>Labour</w:t>
      </w:r>
      <w:proofErr w:type="spellEnd"/>
      <w:r w:rsidRPr="005577C4">
        <w:rPr>
          <w:i/>
        </w:rPr>
        <w:t xml:space="preserve"> commissioner, who using the powers accorded to him under Part II, shall </w:t>
      </w:r>
      <w:proofErr w:type="spellStart"/>
      <w:r w:rsidRPr="005577C4">
        <w:rPr>
          <w:i/>
        </w:rPr>
        <w:t>endeavour</w:t>
      </w:r>
      <w:proofErr w:type="spellEnd"/>
      <w:r w:rsidRPr="005577C4">
        <w:rPr>
          <w:i/>
        </w:rPr>
        <w:t xml:space="preserve"> to settle the matter.  </w:t>
      </w:r>
    </w:p>
    <w:p w:rsidR="00540A1A" w:rsidRPr="005577C4" w:rsidRDefault="00540A1A" w:rsidP="007963CC">
      <w:pPr>
        <w:tabs>
          <w:tab w:val="left" w:pos="1785"/>
        </w:tabs>
        <w:spacing w:line="480" w:lineRule="auto"/>
        <w:ind w:left="2835" w:hanging="2835"/>
        <w:jc w:val="both"/>
        <w:rPr>
          <w:i/>
        </w:rPr>
      </w:pPr>
    </w:p>
    <w:p w:rsidR="00091452" w:rsidRPr="005577C4" w:rsidRDefault="00540A1A" w:rsidP="007963CC">
      <w:pPr>
        <w:tabs>
          <w:tab w:val="left" w:pos="1785"/>
        </w:tabs>
        <w:spacing w:line="480" w:lineRule="auto"/>
        <w:ind w:left="2835" w:hanging="2835"/>
        <w:jc w:val="both"/>
        <w:rPr>
          <w:i/>
        </w:rPr>
      </w:pPr>
      <w:r w:rsidRPr="005577C4">
        <w:rPr>
          <w:i/>
        </w:rPr>
        <w:tab/>
      </w:r>
      <w:r w:rsidR="00AC6E80" w:rsidRPr="005577C4">
        <w:rPr>
          <w:i/>
        </w:rPr>
        <w:tab/>
      </w:r>
      <w:r w:rsidR="00FB48FD" w:rsidRPr="005577C4">
        <w:rPr>
          <w:i/>
        </w:rPr>
        <w:t>Where he is unable to do so within fourteen days of the receipt of the application being made to him he shall refer the matter to the Industrial Court which may make an order.”</w:t>
      </w:r>
      <w:r w:rsidR="00091452" w:rsidRPr="005577C4">
        <w:rPr>
          <w:i/>
        </w:rPr>
        <w:tab/>
      </w:r>
    </w:p>
    <w:p w:rsidR="003E0A09" w:rsidRPr="005577C4" w:rsidRDefault="00BC43AB" w:rsidP="007963CC">
      <w:pPr>
        <w:tabs>
          <w:tab w:val="left" w:pos="1785"/>
        </w:tabs>
        <w:spacing w:line="480" w:lineRule="auto"/>
        <w:jc w:val="both"/>
        <w:rPr>
          <w:i/>
        </w:rPr>
      </w:pPr>
      <w:r w:rsidRPr="005577C4">
        <w:rPr>
          <w:i/>
        </w:rPr>
        <w:t xml:space="preserve">   </w:t>
      </w:r>
    </w:p>
    <w:p w:rsidR="00BC43AB" w:rsidRPr="005577C4" w:rsidRDefault="003E0A09" w:rsidP="007963CC">
      <w:pPr>
        <w:pStyle w:val="ListParagraph"/>
        <w:numPr>
          <w:ilvl w:val="0"/>
          <w:numId w:val="1"/>
        </w:numPr>
        <w:spacing w:line="480" w:lineRule="auto"/>
        <w:ind w:left="1276" w:hanging="781"/>
        <w:jc w:val="both"/>
      </w:pPr>
      <w:r w:rsidRPr="005577C4">
        <w:t>The Respondent contended that since the Court has set aside the    Commissioner’s ruling which he (Commissioner) made under Secti</w:t>
      </w:r>
      <w:r w:rsidR="00540A1A" w:rsidRPr="005577C4">
        <w:t>on 26 (3) namely</w:t>
      </w:r>
      <w:r w:rsidRPr="005577C4">
        <w:t xml:space="preserve"> (annexure AM 10)</w:t>
      </w:r>
      <w:r w:rsidR="00C31D43" w:rsidRPr="005577C4">
        <w:t>;</w:t>
      </w:r>
      <w:r w:rsidRPr="005577C4">
        <w:t xml:space="preserve"> that means the provision of Section 26(1) automatically comes into effect.  The changed terms whic</w:t>
      </w:r>
      <w:r w:rsidR="00C31D43" w:rsidRPr="005577C4">
        <w:t>h the Respondent introduced in</w:t>
      </w:r>
      <w:r w:rsidRPr="005577C4">
        <w:t xml:space="preserve"> the employment contract are deemed to be effective and to be part of the terms of service of that employee.  The relationship between </w:t>
      </w:r>
      <w:r w:rsidR="00385A58" w:rsidRPr="005577C4">
        <w:t xml:space="preserve">the parties is </w:t>
      </w:r>
      <w:r w:rsidR="00C31D43" w:rsidRPr="005577C4">
        <w:t>henceforth</w:t>
      </w:r>
      <w:r w:rsidR="00385A58" w:rsidRPr="005577C4">
        <w:t xml:space="preserve"> governed by</w:t>
      </w:r>
      <w:r w:rsidRPr="005577C4">
        <w:t xml:space="preserve"> the contract of employment with the necessary changes </w:t>
      </w:r>
      <w:r w:rsidR="00385A58" w:rsidRPr="005577C4">
        <w:lastRenderedPageBreak/>
        <w:t xml:space="preserve">incorporated therein. </w:t>
      </w:r>
      <w:r w:rsidRPr="005577C4">
        <w:t xml:space="preserve">  According to the Respondent, a new contract of employment (incorporating the changed terms</w:t>
      </w:r>
      <w:r w:rsidR="00385A58" w:rsidRPr="005577C4">
        <w:t>)</w:t>
      </w:r>
      <w:r w:rsidRPr="005577C4">
        <w:t xml:space="preserve"> has come into existence which is binding on the parties.</w:t>
      </w:r>
      <w:r w:rsidR="0069570B" w:rsidRPr="005577C4">
        <w:t xml:space="preserve">  There is therefore no dispute before Court, the matter has been </w:t>
      </w:r>
      <w:proofErr w:type="spellStart"/>
      <w:r w:rsidR="0069570B" w:rsidRPr="005577C4">
        <w:t>finalised</w:t>
      </w:r>
      <w:proofErr w:type="spellEnd"/>
      <w:r w:rsidR="0069570B" w:rsidRPr="005577C4">
        <w:t>.</w:t>
      </w:r>
    </w:p>
    <w:p w:rsidR="00C130E1" w:rsidRPr="005577C4" w:rsidRDefault="00C130E1" w:rsidP="007963CC">
      <w:pPr>
        <w:pStyle w:val="ListParagraph"/>
        <w:spacing w:line="480" w:lineRule="auto"/>
        <w:ind w:left="1276"/>
        <w:jc w:val="both"/>
      </w:pPr>
    </w:p>
    <w:p w:rsidR="00540A1A" w:rsidRPr="005577C4" w:rsidRDefault="003E0A09" w:rsidP="007963CC">
      <w:pPr>
        <w:pStyle w:val="ListParagraph"/>
        <w:numPr>
          <w:ilvl w:val="0"/>
          <w:numId w:val="1"/>
        </w:numPr>
        <w:spacing w:line="480" w:lineRule="auto"/>
        <w:ind w:left="1276" w:hanging="781"/>
        <w:jc w:val="both"/>
      </w:pPr>
      <w:r w:rsidRPr="005577C4">
        <w:t xml:space="preserve"> It is important for the Court to examine the extent to which the changed terms have affected the contract of employment. </w:t>
      </w:r>
    </w:p>
    <w:p w:rsidR="00540A1A" w:rsidRPr="005577C4" w:rsidRDefault="00540A1A" w:rsidP="00540A1A">
      <w:pPr>
        <w:pStyle w:val="ListParagraph"/>
      </w:pPr>
    </w:p>
    <w:p w:rsidR="007015FA" w:rsidRPr="005577C4" w:rsidRDefault="003E0A09" w:rsidP="00540A1A">
      <w:pPr>
        <w:pStyle w:val="ListParagraph"/>
        <w:spacing w:line="480" w:lineRule="auto"/>
        <w:ind w:left="1276"/>
        <w:jc w:val="both"/>
      </w:pPr>
      <w:r w:rsidRPr="005577C4">
        <w:t xml:space="preserve"> The word</w:t>
      </w:r>
      <w:r w:rsidR="007015FA" w:rsidRPr="005577C4">
        <w:t xml:space="preserve"> ‘deemed</w:t>
      </w:r>
      <w:r w:rsidR="0069570B" w:rsidRPr="005577C4">
        <w:t>’</w:t>
      </w:r>
      <w:r w:rsidR="007015FA" w:rsidRPr="005577C4">
        <w:t xml:space="preserve">, in Section </w:t>
      </w:r>
      <w:r w:rsidR="0069570B" w:rsidRPr="005577C4">
        <w:t>26(1) is instructive and a clear</w:t>
      </w:r>
      <w:r w:rsidR="007015FA" w:rsidRPr="005577C4">
        <w:t xml:space="preserve"> understanding of the use of that word in the context is crucial.  The word ‘deem or deemed’ has been d</w:t>
      </w:r>
      <w:r w:rsidR="00AC6E80" w:rsidRPr="005577C4">
        <w:t>efined or explained by various authorities as follows:</w:t>
      </w:r>
    </w:p>
    <w:p w:rsidR="00AC6E80" w:rsidRPr="005577C4" w:rsidRDefault="0069570B" w:rsidP="007963CC">
      <w:pPr>
        <w:pStyle w:val="ListParagraph"/>
        <w:spacing w:line="480" w:lineRule="auto"/>
        <w:ind w:left="2977" w:hanging="682"/>
        <w:jc w:val="both"/>
        <w:rPr>
          <w:i/>
        </w:rPr>
      </w:pPr>
      <w:r w:rsidRPr="005577C4">
        <w:rPr>
          <w:i/>
        </w:rPr>
        <w:t>18</w:t>
      </w:r>
      <w:r w:rsidR="00AC6E80" w:rsidRPr="005577C4">
        <w:rPr>
          <w:i/>
        </w:rPr>
        <w:t xml:space="preserve">.1 </w:t>
      </w:r>
      <w:r w:rsidR="00540A1A" w:rsidRPr="005577C4">
        <w:rPr>
          <w:i/>
        </w:rPr>
        <w:t>“</w:t>
      </w:r>
      <w:r w:rsidR="00AC6E80" w:rsidRPr="005577C4">
        <w:rPr>
          <w:i/>
        </w:rPr>
        <w:t xml:space="preserve"> The word ‘deemed’ is </w:t>
      </w:r>
      <w:r w:rsidRPr="005577C4">
        <w:rPr>
          <w:i/>
        </w:rPr>
        <w:t>capable of meaning  ‘</w:t>
      </w:r>
      <w:proofErr w:type="spellStart"/>
      <w:r w:rsidRPr="005577C4">
        <w:rPr>
          <w:i/>
        </w:rPr>
        <w:t>rebuttably</w:t>
      </w:r>
      <w:proofErr w:type="spellEnd"/>
      <w:r w:rsidRPr="005577C4">
        <w:rPr>
          <w:i/>
        </w:rPr>
        <w:t xml:space="preserve"> </w:t>
      </w:r>
      <w:r w:rsidR="00AC6E80" w:rsidRPr="005577C4">
        <w:rPr>
          <w:i/>
        </w:rPr>
        <w:t xml:space="preserve"> presumed’ tha</w:t>
      </w:r>
      <w:r w:rsidRPr="005577C4">
        <w:rPr>
          <w:i/>
        </w:rPr>
        <w:t>t is, presumed  until the contra</w:t>
      </w:r>
      <w:r w:rsidR="00AC6E80" w:rsidRPr="005577C4">
        <w:rPr>
          <w:i/>
        </w:rPr>
        <w:t>ry is proved.”</w:t>
      </w:r>
    </w:p>
    <w:p w:rsidR="00AC6E80" w:rsidRPr="005577C4" w:rsidRDefault="00AC6E80" w:rsidP="007963CC">
      <w:pPr>
        <w:pStyle w:val="ListParagraph"/>
        <w:spacing w:line="480" w:lineRule="auto"/>
        <w:ind w:left="2977" w:hanging="682"/>
        <w:jc w:val="both"/>
        <w:rPr>
          <w:i/>
        </w:rPr>
      </w:pPr>
      <w:r w:rsidRPr="005577C4">
        <w:rPr>
          <w:i/>
        </w:rPr>
        <w:t xml:space="preserve">         SAUNDERS JB: WORDS AND PHRAS</w:t>
      </w:r>
      <w:r w:rsidR="0069570B" w:rsidRPr="005577C4">
        <w:rPr>
          <w:i/>
        </w:rPr>
        <w:t>E</w:t>
      </w:r>
      <w:r w:rsidRPr="005577C4">
        <w:rPr>
          <w:i/>
        </w:rPr>
        <w:t>S LEGALLY DEFINED</w:t>
      </w:r>
      <w:r w:rsidR="0000460F" w:rsidRPr="005577C4">
        <w:rPr>
          <w:i/>
        </w:rPr>
        <w:t>, 2</w:t>
      </w:r>
      <w:r w:rsidR="0000460F" w:rsidRPr="005577C4">
        <w:rPr>
          <w:i/>
          <w:vertAlign w:val="superscript"/>
        </w:rPr>
        <w:t>nd</w:t>
      </w:r>
      <w:r w:rsidRPr="005577C4">
        <w:rPr>
          <w:i/>
          <w:vertAlign w:val="superscript"/>
        </w:rPr>
        <w:t xml:space="preserve"> </w:t>
      </w:r>
      <w:r w:rsidRPr="005577C4">
        <w:rPr>
          <w:i/>
        </w:rPr>
        <w:t>edition, 1969 (</w:t>
      </w:r>
      <w:proofErr w:type="spellStart"/>
      <w:r w:rsidRPr="005577C4">
        <w:rPr>
          <w:i/>
        </w:rPr>
        <w:t>Butterworths</w:t>
      </w:r>
      <w:proofErr w:type="spellEnd"/>
      <w:r w:rsidRPr="005577C4">
        <w:rPr>
          <w:i/>
        </w:rPr>
        <w:t xml:space="preserve">), Volume2, </w:t>
      </w:r>
      <w:r w:rsidR="003834BD" w:rsidRPr="005577C4">
        <w:rPr>
          <w:i/>
        </w:rPr>
        <w:t>ISBN 406</w:t>
      </w:r>
      <w:r w:rsidRPr="005577C4">
        <w:rPr>
          <w:i/>
        </w:rPr>
        <w:t xml:space="preserve"> 08032 1 </w:t>
      </w:r>
    </w:p>
    <w:p w:rsidR="00AC6E80" w:rsidRPr="005577C4" w:rsidRDefault="00AC6E80" w:rsidP="007963CC">
      <w:pPr>
        <w:pStyle w:val="ListParagraph"/>
        <w:spacing w:line="480" w:lineRule="auto"/>
        <w:ind w:left="2977" w:hanging="682"/>
        <w:jc w:val="both"/>
        <w:rPr>
          <w:i/>
        </w:rPr>
      </w:pPr>
      <w:r w:rsidRPr="005577C4">
        <w:rPr>
          <w:i/>
        </w:rPr>
        <w:t xml:space="preserve">           </w:t>
      </w:r>
      <w:proofErr w:type="gramStart"/>
      <w:r w:rsidRPr="005577C4">
        <w:rPr>
          <w:i/>
        </w:rPr>
        <w:t>at</w:t>
      </w:r>
      <w:proofErr w:type="gramEnd"/>
      <w:r w:rsidRPr="005577C4">
        <w:rPr>
          <w:i/>
        </w:rPr>
        <w:t xml:space="preserve"> page 28.</w:t>
      </w:r>
    </w:p>
    <w:p w:rsidR="00AC6E80" w:rsidRPr="005577C4" w:rsidRDefault="0069570B" w:rsidP="007963CC">
      <w:pPr>
        <w:pStyle w:val="ListParagraph"/>
        <w:spacing w:line="480" w:lineRule="auto"/>
        <w:ind w:left="2977" w:hanging="682"/>
        <w:jc w:val="both"/>
        <w:rPr>
          <w:i/>
        </w:rPr>
      </w:pPr>
      <w:r w:rsidRPr="005577C4">
        <w:rPr>
          <w:i/>
        </w:rPr>
        <w:t>18</w:t>
      </w:r>
      <w:r w:rsidR="00AC6E80" w:rsidRPr="005577C4">
        <w:rPr>
          <w:i/>
        </w:rPr>
        <w:t>.2    “ The decision in Rex V Norfolk Country Council, 65 L.T., p.22, may be usefully referred to, and the remarks o</w:t>
      </w:r>
      <w:r w:rsidRPr="005577C4">
        <w:rPr>
          <w:i/>
        </w:rPr>
        <w:t>f JUSTICE CAVE are very apposite</w:t>
      </w:r>
      <w:r w:rsidR="00AC6E80" w:rsidRPr="005577C4">
        <w:rPr>
          <w:i/>
        </w:rPr>
        <w:t>.  So that the word ‘deemed’ must be here taken in its general sense as meaning ‘</w:t>
      </w:r>
      <w:r w:rsidR="00AC6E80" w:rsidRPr="005577C4">
        <w:rPr>
          <w:i/>
          <w:u w:val="single"/>
        </w:rPr>
        <w:t>considered’ or</w:t>
      </w:r>
      <w:r w:rsidR="00AC6E80" w:rsidRPr="005577C4">
        <w:rPr>
          <w:i/>
        </w:rPr>
        <w:t xml:space="preserve"> </w:t>
      </w:r>
      <w:r w:rsidR="00AC6E80" w:rsidRPr="005577C4">
        <w:rPr>
          <w:i/>
          <w:u w:val="single"/>
        </w:rPr>
        <w:t>‘regarded</w:t>
      </w:r>
      <w:r w:rsidR="00540A1A" w:rsidRPr="005577C4">
        <w:rPr>
          <w:i/>
        </w:rPr>
        <w:t>;</w:t>
      </w:r>
      <w:r w:rsidR="00AC6E80" w:rsidRPr="005577C4">
        <w:rPr>
          <w:i/>
        </w:rPr>
        <w:t>”</w:t>
      </w:r>
    </w:p>
    <w:p w:rsidR="00AC6E80" w:rsidRPr="005577C4" w:rsidRDefault="00AC6E80" w:rsidP="007963CC">
      <w:pPr>
        <w:pStyle w:val="ListParagraph"/>
        <w:spacing w:line="480" w:lineRule="auto"/>
        <w:ind w:left="2977" w:hanging="682"/>
        <w:jc w:val="both"/>
      </w:pPr>
      <w:r w:rsidRPr="005577C4">
        <w:t xml:space="preserve">         BELL WHS:  SOUTH AFRICAN LEGAL DICTIONARY, 2</w:t>
      </w:r>
      <w:r w:rsidRPr="005577C4">
        <w:rPr>
          <w:vertAlign w:val="superscript"/>
        </w:rPr>
        <w:t>nd</w:t>
      </w:r>
      <w:r w:rsidR="0069570B" w:rsidRPr="005577C4">
        <w:t xml:space="preserve"> edition (</w:t>
      </w:r>
      <w:proofErr w:type="spellStart"/>
      <w:r w:rsidR="0069570B" w:rsidRPr="005577C4">
        <w:t>Juta</w:t>
      </w:r>
      <w:proofErr w:type="spellEnd"/>
      <w:r w:rsidRPr="005577C4">
        <w:t xml:space="preserve"> &amp; Co) 1925  </w:t>
      </w:r>
    </w:p>
    <w:p w:rsidR="00AC6E80" w:rsidRPr="005577C4" w:rsidRDefault="00AC6E80" w:rsidP="007963CC">
      <w:pPr>
        <w:pStyle w:val="ListParagraph"/>
        <w:spacing w:line="480" w:lineRule="auto"/>
        <w:ind w:left="2977" w:hanging="682"/>
        <w:jc w:val="both"/>
      </w:pPr>
      <w:r w:rsidRPr="005577C4">
        <w:t xml:space="preserve">         </w:t>
      </w:r>
      <w:proofErr w:type="gramStart"/>
      <w:r w:rsidR="00153116" w:rsidRPr="005577C4">
        <w:t>ISBN (not available) at page 162.</w:t>
      </w:r>
      <w:proofErr w:type="gramEnd"/>
    </w:p>
    <w:p w:rsidR="003834BD" w:rsidRPr="005577C4" w:rsidRDefault="003834BD" w:rsidP="007963CC">
      <w:pPr>
        <w:pStyle w:val="ListParagraph"/>
        <w:spacing w:line="480" w:lineRule="auto"/>
        <w:ind w:left="2977" w:hanging="682"/>
        <w:jc w:val="both"/>
      </w:pPr>
    </w:p>
    <w:p w:rsidR="00153116" w:rsidRPr="005577C4" w:rsidRDefault="00C130E1" w:rsidP="007963CC">
      <w:pPr>
        <w:pStyle w:val="ListParagraph"/>
        <w:numPr>
          <w:ilvl w:val="0"/>
          <w:numId w:val="1"/>
        </w:numPr>
        <w:spacing w:line="480" w:lineRule="auto"/>
        <w:ind w:left="1276" w:hanging="781"/>
        <w:jc w:val="both"/>
      </w:pPr>
      <w:r w:rsidRPr="005577C4">
        <w:lastRenderedPageBreak/>
        <w:t xml:space="preserve">Where an </w:t>
      </w:r>
      <w:r w:rsidR="0069570B" w:rsidRPr="005577C4">
        <w:t xml:space="preserve"> employee, </w:t>
      </w:r>
      <w:r w:rsidR="0000460F" w:rsidRPr="005577C4">
        <w:t>(</w:t>
      </w:r>
      <w:r w:rsidR="0069570B" w:rsidRPr="005577C4">
        <w:t xml:space="preserve">whose terms of </w:t>
      </w:r>
      <w:r w:rsidR="0000460F" w:rsidRPr="005577C4">
        <w:t>employment have been chan</w:t>
      </w:r>
      <w:r w:rsidR="0069570B" w:rsidRPr="005577C4">
        <w:t>ged by the employer</w:t>
      </w:r>
      <w:r w:rsidR="0000460F" w:rsidRPr="005577C4">
        <w:t xml:space="preserve">), </w:t>
      </w:r>
      <w:r w:rsidR="0069570B" w:rsidRPr="005577C4">
        <w:t xml:space="preserve"> has failed to challenge or has failed to successfully challenge the proposed change, the new terms shall be considered or regarded as incorporated in the employment contract.  That means the change in the terms</w:t>
      </w:r>
      <w:r w:rsidR="0000460F" w:rsidRPr="005577C4">
        <w:t xml:space="preserve"> </w:t>
      </w:r>
      <w:r w:rsidR="00C200FD" w:rsidRPr="005577C4">
        <w:t xml:space="preserve">of the </w:t>
      </w:r>
      <w:r w:rsidR="0000460F" w:rsidRPr="005577C4">
        <w:t>employment contract is</w:t>
      </w:r>
      <w:r w:rsidR="00C200FD" w:rsidRPr="005577C4">
        <w:t xml:space="preserve"> a reversible process.  The new terms in the </w:t>
      </w:r>
      <w:r w:rsidR="0000460F" w:rsidRPr="005577C4">
        <w:t>employment contract will be effective until the process is reversed.  The Court has the power to reverse that process</w:t>
      </w:r>
      <w:r w:rsidR="003834BD" w:rsidRPr="005577C4">
        <w:t>.</w:t>
      </w:r>
    </w:p>
    <w:p w:rsidR="00B46215" w:rsidRPr="005577C4" w:rsidRDefault="00B46215" w:rsidP="007963CC">
      <w:pPr>
        <w:pStyle w:val="ListParagraph"/>
        <w:spacing w:line="480" w:lineRule="auto"/>
        <w:ind w:left="1276"/>
        <w:jc w:val="both"/>
      </w:pPr>
    </w:p>
    <w:p w:rsidR="00C130E1" w:rsidRPr="005577C4" w:rsidRDefault="00153116" w:rsidP="007963CC">
      <w:pPr>
        <w:pStyle w:val="ListParagraph"/>
        <w:numPr>
          <w:ilvl w:val="0"/>
          <w:numId w:val="1"/>
        </w:numPr>
        <w:spacing w:line="480" w:lineRule="auto"/>
        <w:ind w:left="1276" w:hanging="781"/>
        <w:jc w:val="both"/>
      </w:pPr>
      <w:r w:rsidRPr="005577C4">
        <w:t xml:space="preserve">Even if the </w:t>
      </w:r>
      <w:r w:rsidR="00FF04E6" w:rsidRPr="005577C4">
        <w:t>employee</w:t>
      </w:r>
      <w:r w:rsidR="001E5422" w:rsidRPr="005577C4">
        <w:t xml:space="preserve"> fails</w:t>
      </w:r>
      <w:r w:rsidR="00FF04E6" w:rsidRPr="005577C4">
        <w:t xml:space="preserve"> to</w:t>
      </w:r>
      <w:r w:rsidRPr="005577C4">
        <w:t xml:space="preserve"> challenge the introduction of new t</w:t>
      </w:r>
      <w:r w:rsidR="00C130E1" w:rsidRPr="005577C4">
        <w:t>erms in the employment contract</w:t>
      </w:r>
      <w:r w:rsidR="00C31D43" w:rsidRPr="005577C4">
        <w:t xml:space="preserve"> within the 14 days period provided in Section 26(2), t</w:t>
      </w:r>
      <w:r w:rsidRPr="005577C4">
        <w:t xml:space="preserve">he legislature </w:t>
      </w:r>
      <w:r w:rsidR="00C130E1" w:rsidRPr="005577C4">
        <w:t xml:space="preserve">has left the door open for an aggrieved </w:t>
      </w:r>
      <w:r w:rsidRPr="005577C4">
        <w:t xml:space="preserve">employee to challenge </w:t>
      </w:r>
      <w:r w:rsidR="007963CC" w:rsidRPr="005577C4">
        <w:t>those unilateral</w:t>
      </w:r>
      <w:r w:rsidR="00C130E1" w:rsidRPr="005577C4">
        <w:t xml:space="preserve"> </w:t>
      </w:r>
      <w:r w:rsidRPr="005577C4">
        <w:t>changes</w:t>
      </w:r>
      <w:r w:rsidR="00C130E1" w:rsidRPr="005577C4">
        <w:t xml:space="preserve"> in his employment contract</w:t>
      </w:r>
      <w:r w:rsidRPr="005577C4">
        <w:t xml:space="preserve"> by lawfu</w:t>
      </w:r>
      <w:r w:rsidR="00C130E1" w:rsidRPr="005577C4">
        <w:t>l means other than Section 26</w:t>
      </w:r>
      <w:r w:rsidRPr="005577C4">
        <w:t xml:space="preserve"> of the Employment Act</w:t>
      </w:r>
      <w:r w:rsidR="00C130E1" w:rsidRPr="005577C4">
        <w:t>.   Section 26(1) of the Employment Act creates a rebuttable presumption that</w:t>
      </w:r>
      <w:r w:rsidRPr="005577C4">
        <w:t xml:space="preserve"> the new terms </w:t>
      </w:r>
      <w:r w:rsidR="00C130E1" w:rsidRPr="005577C4">
        <w:t xml:space="preserve">in the employment contract have been </w:t>
      </w:r>
      <w:r w:rsidRPr="005577C4">
        <w:t>lawfully</w:t>
      </w:r>
      <w:r w:rsidR="00C130E1" w:rsidRPr="005577C4">
        <w:t xml:space="preserve"> incorporated.   It</w:t>
      </w:r>
      <w:r w:rsidR="00C31D43" w:rsidRPr="005577C4">
        <w:t xml:space="preserve"> is up to the employee to </w:t>
      </w:r>
      <w:proofErr w:type="spellStart"/>
      <w:r w:rsidR="00C31D43" w:rsidRPr="005577C4">
        <w:t>rebut</w:t>
      </w:r>
      <w:r w:rsidR="00C130E1" w:rsidRPr="005577C4">
        <w:t>t</w:t>
      </w:r>
      <w:proofErr w:type="spellEnd"/>
      <w:r w:rsidR="00C130E1" w:rsidRPr="005577C4">
        <w:t xml:space="preserve"> that presumption by challenging the employer’s conduct in Court.   This is the approach which the Applicant has adopted. </w:t>
      </w:r>
    </w:p>
    <w:p w:rsidR="00C130E1" w:rsidRPr="005577C4" w:rsidRDefault="00C130E1" w:rsidP="007963CC">
      <w:pPr>
        <w:pStyle w:val="ListParagraph"/>
        <w:jc w:val="both"/>
      </w:pPr>
    </w:p>
    <w:p w:rsidR="00B46215" w:rsidRPr="005577C4" w:rsidRDefault="00B46215" w:rsidP="007963CC">
      <w:pPr>
        <w:pStyle w:val="ListParagraph"/>
        <w:spacing w:line="480" w:lineRule="auto"/>
        <w:ind w:left="1276"/>
        <w:jc w:val="both"/>
      </w:pPr>
    </w:p>
    <w:p w:rsidR="003834BD" w:rsidRPr="005577C4" w:rsidRDefault="00567E38" w:rsidP="003834BD">
      <w:pPr>
        <w:pStyle w:val="ListParagraph"/>
        <w:numPr>
          <w:ilvl w:val="0"/>
          <w:numId w:val="1"/>
        </w:numPr>
        <w:spacing w:line="480" w:lineRule="auto"/>
        <w:ind w:left="1276" w:hanging="781"/>
        <w:jc w:val="both"/>
      </w:pPr>
      <w:r w:rsidRPr="005577C4">
        <w:t>Section 26 of the Employment Act does not</w:t>
      </w:r>
      <w:r w:rsidR="00C130E1" w:rsidRPr="005577C4">
        <w:t xml:space="preserve"> </w:t>
      </w:r>
      <w:r w:rsidR="007963CC" w:rsidRPr="005577C4">
        <w:t>necessarily oust</w:t>
      </w:r>
      <w:r w:rsidRPr="005577C4">
        <w:t xml:space="preserve"> the jurisdiction of the Industrial Court in granting remedy </w:t>
      </w:r>
      <w:r w:rsidR="00C130E1" w:rsidRPr="005577C4">
        <w:t xml:space="preserve">to an employee who is </w:t>
      </w:r>
      <w:r w:rsidR="007963CC" w:rsidRPr="005577C4">
        <w:t>aggrieved by</w:t>
      </w:r>
      <w:r w:rsidRPr="005577C4">
        <w:t xml:space="preserve"> the employer’s unilateral </w:t>
      </w:r>
      <w:r w:rsidR="001E5422" w:rsidRPr="005577C4">
        <w:t>decision -</w:t>
      </w:r>
      <w:r w:rsidR="00C31D43" w:rsidRPr="005577C4">
        <w:t xml:space="preserve"> to</w:t>
      </w:r>
      <w:r w:rsidR="00C130E1" w:rsidRPr="005577C4">
        <w:t xml:space="preserve"> </w:t>
      </w:r>
      <w:r w:rsidR="007963CC" w:rsidRPr="005577C4">
        <w:t>change the</w:t>
      </w:r>
      <w:r w:rsidRPr="005577C4">
        <w:t xml:space="preserve"> terms of the employment contract.  The</w:t>
      </w:r>
      <w:r w:rsidR="00C130E1" w:rsidRPr="005577C4">
        <w:t xml:space="preserve"> effect of Section 26 </w:t>
      </w:r>
      <w:r w:rsidRPr="005577C4">
        <w:t xml:space="preserve">  is to </w:t>
      </w:r>
      <w:r w:rsidR="00C130E1" w:rsidRPr="005577C4">
        <w:t xml:space="preserve">delay </w:t>
      </w:r>
      <w:r w:rsidR="007963CC" w:rsidRPr="005577C4">
        <w:t>the Court’s</w:t>
      </w:r>
      <w:r w:rsidR="00C130E1" w:rsidRPr="005577C4">
        <w:t xml:space="preserve"> intervention until the matter is either </w:t>
      </w:r>
      <w:r w:rsidR="001E5422" w:rsidRPr="005577C4">
        <w:t xml:space="preserve">disposed </w:t>
      </w:r>
      <w:proofErr w:type="gramStart"/>
      <w:r w:rsidR="001E5422" w:rsidRPr="005577C4">
        <w:t>of  by</w:t>
      </w:r>
      <w:proofErr w:type="gramEnd"/>
      <w:r w:rsidR="00C130E1" w:rsidRPr="005577C4">
        <w:t xml:space="preserve"> the Commissioner (by way of a written opinion</w:t>
      </w:r>
      <w:r w:rsidR="00FF04E6" w:rsidRPr="005577C4">
        <w:t>) or</w:t>
      </w:r>
      <w:r w:rsidR="00C130E1" w:rsidRPr="005577C4">
        <w:t xml:space="preserve"> is referred to the Court</w:t>
      </w:r>
      <w:r w:rsidR="00C31D43" w:rsidRPr="005577C4">
        <w:t>,</w:t>
      </w:r>
      <w:r w:rsidR="00C130E1" w:rsidRPr="005577C4">
        <w:t xml:space="preserve"> by the Commissioner, for adjudication. </w:t>
      </w:r>
    </w:p>
    <w:p w:rsidR="00C130E1" w:rsidRPr="005577C4" w:rsidRDefault="00C130E1" w:rsidP="003834BD">
      <w:pPr>
        <w:pStyle w:val="ListParagraph"/>
        <w:spacing w:line="480" w:lineRule="auto"/>
        <w:ind w:left="1276"/>
        <w:jc w:val="both"/>
        <w:rPr>
          <w:i/>
        </w:rPr>
      </w:pPr>
      <w:r w:rsidRPr="005577C4">
        <w:lastRenderedPageBreak/>
        <w:t xml:space="preserve"> The purpose of Section 26(2) and (3) of the Employment Act is to give </w:t>
      </w:r>
      <w:r w:rsidR="00C31D43" w:rsidRPr="005577C4">
        <w:t xml:space="preserve"> the </w:t>
      </w:r>
      <w:r w:rsidRPr="005577C4">
        <w:t xml:space="preserve">aggrieved employee a fast and effective remedy to restore the </w:t>
      </w:r>
      <w:r w:rsidRPr="005577C4">
        <w:rPr>
          <w:i/>
        </w:rPr>
        <w:t>status</w:t>
      </w:r>
      <w:r w:rsidRPr="005577C4">
        <w:t xml:space="preserve"> </w:t>
      </w:r>
      <w:r w:rsidRPr="005577C4">
        <w:rPr>
          <w:i/>
        </w:rPr>
        <w:t>quo ante,</w:t>
      </w:r>
      <w:r w:rsidRPr="005577C4">
        <w:t xml:space="preserve"> in the event the Commissioner finds in the employee’s </w:t>
      </w:r>
      <w:proofErr w:type="spellStart"/>
      <w:r w:rsidRPr="005577C4">
        <w:t>favour</w:t>
      </w:r>
      <w:proofErr w:type="spellEnd"/>
      <w:r w:rsidRPr="005577C4">
        <w:t>.</w:t>
      </w:r>
    </w:p>
    <w:p w:rsidR="00C130E1" w:rsidRPr="005577C4" w:rsidRDefault="00C130E1" w:rsidP="007963CC">
      <w:pPr>
        <w:pStyle w:val="ListParagraph"/>
        <w:spacing w:line="480" w:lineRule="auto"/>
        <w:ind w:left="1276"/>
        <w:jc w:val="both"/>
        <w:rPr>
          <w:i/>
        </w:rPr>
      </w:pPr>
    </w:p>
    <w:p w:rsidR="00FF04E6" w:rsidRPr="005577C4" w:rsidRDefault="00C130E1" w:rsidP="007963CC">
      <w:pPr>
        <w:pStyle w:val="ListParagraph"/>
        <w:numPr>
          <w:ilvl w:val="0"/>
          <w:numId w:val="1"/>
        </w:numPr>
        <w:spacing w:line="480" w:lineRule="auto"/>
        <w:ind w:left="1276" w:hanging="781"/>
        <w:jc w:val="both"/>
      </w:pPr>
      <w:r w:rsidRPr="005577C4">
        <w:t>It appears clearly from the point of law raised</w:t>
      </w:r>
      <w:r w:rsidR="001E5422" w:rsidRPr="005577C4">
        <w:t>;</w:t>
      </w:r>
      <w:r w:rsidRPr="005577C4">
        <w:t xml:space="preserve"> that the Respondent has approached the Applicant’s application as of</w:t>
      </w:r>
      <w:r w:rsidR="00C31D43" w:rsidRPr="005577C4">
        <w:t xml:space="preserve"> it was dismissed in its entiret</w:t>
      </w:r>
      <w:r w:rsidRPr="005577C4">
        <w:t xml:space="preserve">y and that the matter is </w:t>
      </w:r>
      <w:r w:rsidRPr="005577C4">
        <w:rPr>
          <w:i/>
        </w:rPr>
        <w:t xml:space="preserve">res </w:t>
      </w:r>
      <w:proofErr w:type="spellStart"/>
      <w:r w:rsidRPr="005577C4">
        <w:rPr>
          <w:i/>
        </w:rPr>
        <w:t>judicata</w:t>
      </w:r>
      <w:proofErr w:type="spellEnd"/>
      <w:r w:rsidRPr="005577C4">
        <w:rPr>
          <w:i/>
        </w:rPr>
        <w:t xml:space="preserve">.  </w:t>
      </w:r>
      <w:r w:rsidRPr="005577C4">
        <w:t>That thinking is incorrect.  The judgment of this Court dated 20</w:t>
      </w:r>
      <w:r w:rsidRPr="005577C4">
        <w:rPr>
          <w:vertAlign w:val="superscript"/>
        </w:rPr>
        <w:t>th</w:t>
      </w:r>
      <w:r w:rsidRPr="005577C4">
        <w:t xml:space="preserve"> November 2013, did not pronounce on the legality of the unilateral changes in the employment contract.  However, the Court did </w:t>
      </w:r>
      <w:r w:rsidR="00C31D43" w:rsidRPr="005577C4">
        <w:t>set aside</w:t>
      </w:r>
      <w:r w:rsidRPr="005577C4">
        <w:t xml:space="preserve"> the decision of the Commissioner issued in November 2010 (annexure AM10).  </w:t>
      </w:r>
    </w:p>
    <w:p w:rsidR="00C130E1" w:rsidRPr="005577C4" w:rsidRDefault="00C130E1" w:rsidP="00FF04E6">
      <w:pPr>
        <w:pStyle w:val="ListParagraph"/>
        <w:spacing w:line="480" w:lineRule="auto"/>
        <w:ind w:left="1276"/>
        <w:jc w:val="both"/>
      </w:pPr>
      <w:r w:rsidRPr="005577C4">
        <w:t xml:space="preserve">The Applicant is entitled </w:t>
      </w:r>
      <w:r w:rsidR="00C31D43" w:rsidRPr="005577C4">
        <w:t>to approach the Court in order to challenge</w:t>
      </w:r>
      <w:r w:rsidRPr="005577C4">
        <w:t xml:space="preserve"> the legality of the employer’s unilateral changes in the employment contract.</w:t>
      </w:r>
    </w:p>
    <w:p w:rsidR="00C130E1" w:rsidRPr="005577C4" w:rsidRDefault="00C130E1" w:rsidP="007963CC">
      <w:pPr>
        <w:pStyle w:val="ListParagraph"/>
        <w:jc w:val="both"/>
      </w:pPr>
    </w:p>
    <w:p w:rsidR="00C130E1" w:rsidRPr="005577C4" w:rsidRDefault="00C130E1" w:rsidP="003834BD">
      <w:pPr>
        <w:pStyle w:val="ListParagraph"/>
        <w:numPr>
          <w:ilvl w:val="0"/>
          <w:numId w:val="1"/>
        </w:numPr>
        <w:spacing w:line="480" w:lineRule="auto"/>
        <w:ind w:left="1276" w:hanging="781"/>
        <w:jc w:val="both"/>
      </w:pPr>
      <w:r w:rsidRPr="005577C4">
        <w:t>The Applicant has app</w:t>
      </w:r>
      <w:r w:rsidR="001E5422" w:rsidRPr="005577C4">
        <w:t>roached the Court armed with a C</w:t>
      </w:r>
      <w:r w:rsidRPr="005577C4">
        <w:t>ertificate of Unresolved Dispute (annexure AM7).  The certificate indicates that CMAC attempted to reconcile the parties through conciliation, but failed</w:t>
      </w:r>
      <w:r w:rsidR="001E5422" w:rsidRPr="005577C4">
        <w:t>.</w:t>
      </w:r>
      <w:r w:rsidR="00C31D43" w:rsidRPr="005577C4">
        <w:t xml:space="preserve"> By</w:t>
      </w:r>
      <w:r w:rsidRPr="005577C4">
        <w:t xml:space="preserve"> CMAC is meant the Conciliation, Mediation and Arbitration Commission established in terms of Section 62(1) of the Industrial Relations Act No 1/2000 as amended.  The certificate indicates further that the issues that were subject of conciliation at CMAC were the Applicant’s demotion from Extrusion Supervisor and the loss of salary </w:t>
      </w:r>
      <w:r w:rsidR="00622A20" w:rsidRPr="005577C4">
        <w:t xml:space="preserve">as a result </w:t>
      </w:r>
      <w:proofErr w:type="gramStart"/>
      <w:r w:rsidR="00622A20" w:rsidRPr="005577C4">
        <w:t xml:space="preserve">of </w:t>
      </w:r>
      <w:r w:rsidRPr="005577C4">
        <w:t xml:space="preserve"> the</w:t>
      </w:r>
      <w:proofErr w:type="gramEnd"/>
      <w:r w:rsidRPr="005577C4">
        <w:t xml:space="preserve"> demotion.  These are the same issues that appear in the Notice of Motion. </w:t>
      </w:r>
      <w:r w:rsidR="00C31D43" w:rsidRPr="005577C4">
        <w:t xml:space="preserve">  The Applicant has approached the Court on the authority of the Industrial Relations Act to challenge an irregular change in his employment contract.</w:t>
      </w:r>
      <w:r w:rsidR="00494302" w:rsidRPr="005577C4">
        <w:t xml:space="preserve"> </w:t>
      </w:r>
      <w:r w:rsidRPr="005577C4">
        <w:t xml:space="preserve"> The Applicant is entitled to be heard on his claims viz.  </w:t>
      </w:r>
      <w:proofErr w:type="gramStart"/>
      <w:r w:rsidRPr="005577C4">
        <w:t>the</w:t>
      </w:r>
      <w:proofErr w:type="gramEnd"/>
      <w:r w:rsidRPr="005577C4">
        <w:t xml:space="preserve"> demotion and the subsequent loss of  salary.  The Respondent</w:t>
      </w:r>
      <w:r w:rsidR="00494302" w:rsidRPr="005577C4">
        <w:t>’</w:t>
      </w:r>
      <w:r w:rsidRPr="005577C4">
        <w:t xml:space="preserve">s point of law </w:t>
      </w:r>
      <w:r w:rsidRPr="005577C4">
        <w:lastRenderedPageBreak/>
        <w:t>has no basis and is accordingly dismissed.  The matter should proceed on a date to</w:t>
      </w:r>
      <w:r w:rsidR="007963CC" w:rsidRPr="005577C4">
        <w:t xml:space="preserve"> be</w:t>
      </w:r>
      <w:r w:rsidRPr="005577C4">
        <w:t xml:space="preserve"> arranged with the Registrar.</w:t>
      </w:r>
    </w:p>
    <w:p w:rsidR="00622A20" w:rsidRPr="005577C4" w:rsidRDefault="00622A20" w:rsidP="00622A20">
      <w:pPr>
        <w:pStyle w:val="ListParagraph"/>
        <w:spacing w:line="480" w:lineRule="auto"/>
        <w:ind w:left="1276"/>
        <w:jc w:val="both"/>
      </w:pPr>
    </w:p>
    <w:p w:rsidR="00C130E1" w:rsidRPr="005577C4" w:rsidRDefault="003834BD" w:rsidP="007963CC">
      <w:pPr>
        <w:pStyle w:val="ListParagraph"/>
        <w:numPr>
          <w:ilvl w:val="0"/>
          <w:numId w:val="1"/>
        </w:numPr>
        <w:spacing w:line="480" w:lineRule="auto"/>
        <w:jc w:val="both"/>
      </w:pPr>
      <w:r w:rsidRPr="005577C4">
        <w:t xml:space="preserve">     </w:t>
      </w:r>
      <w:r w:rsidR="00C130E1" w:rsidRPr="005577C4">
        <w:t>Wherefore the Court orders as follows:</w:t>
      </w:r>
    </w:p>
    <w:p w:rsidR="003E0A09" w:rsidRPr="005577C4" w:rsidRDefault="003E0A09" w:rsidP="007963CC">
      <w:pPr>
        <w:pStyle w:val="ListParagraph"/>
        <w:spacing w:line="480" w:lineRule="auto"/>
        <w:ind w:left="2268" w:hanging="992"/>
        <w:jc w:val="both"/>
      </w:pPr>
      <w:r w:rsidRPr="005577C4">
        <w:t xml:space="preserve"> </w:t>
      </w:r>
      <w:r w:rsidR="00446B18" w:rsidRPr="005577C4">
        <w:rPr>
          <w:i/>
        </w:rPr>
        <w:t xml:space="preserve"> </w:t>
      </w:r>
      <w:proofErr w:type="gramStart"/>
      <w:r w:rsidR="00C130E1" w:rsidRPr="005577C4">
        <w:t>24.1  The</w:t>
      </w:r>
      <w:proofErr w:type="gramEnd"/>
      <w:r w:rsidR="00C130E1" w:rsidRPr="005577C4">
        <w:t xml:space="preserve"> point of law raised by the Respondent dated 20</w:t>
      </w:r>
      <w:r w:rsidR="00C130E1" w:rsidRPr="005577C4">
        <w:rPr>
          <w:vertAlign w:val="superscript"/>
        </w:rPr>
        <w:t>th</w:t>
      </w:r>
      <w:r w:rsidR="00C130E1" w:rsidRPr="005577C4">
        <w:t xml:space="preserve"> November 2013 is dismissed.</w:t>
      </w:r>
    </w:p>
    <w:p w:rsidR="00622A20" w:rsidRPr="005577C4" w:rsidRDefault="00622A20" w:rsidP="007963CC">
      <w:pPr>
        <w:tabs>
          <w:tab w:val="left" w:pos="1785"/>
        </w:tabs>
        <w:spacing w:line="480" w:lineRule="auto"/>
        <w:ind w:left="2160" w:hanging="742"/>
        <w:jc w:val="both"/>
      </w:pPr>
    </w:p>
    <w:p w:rsidR="003E0A09" w:rsidRPr="005577C4" w:rsidRDefault="004F7250" w:rsidP="007963CC">
      <w:pPr>
        <w:tabs>
          <w:tab w:val="left" w:pos="1785"/>
        </w:tabs>
        <w:spacing w:line="480" w:lineRule="auto"/>
        <w:ind w:left="2160" w:hanging="742"/>
        <w:jc w:val="both"/>
      </w:pPr>
      <w:r w:rsidRPr="005577C4">
        <w:t xml:space="preserve"> </w:t>
      </w:r>
      <w:r w:rsidR="00C130E1" w:rsidRPr="005577C4">
        <w:t xml:space="preserve">24.2    The issue of costs is reserved until </w:t>
      </w:r>
      <w:proofErr w:type="spellStart"/>
      <w:r w:rsidR="00C130E1" w:rsidRPr="005577C4">
        <w:t>finalisation</w:t>
      </w:r>
      <w:proofErr w:type="spellEnd"/>
      <w:r w:rsidR="00C130E1" w:rsidRPr="005577C4">
        <w:t xml:space="preserve"> of the matter</w:t>
      </w:r>
      <w:r w:rsidRPr="005577C4">
        <w:t>.</w:t>
      </w:r>
    </w:p>
    <w:p w:rsidR="00B46215" w:rsidRPr="005577C4" w:rsidRDefault="005E2203" w:rsidP="007963CC">
      <w:pPr>
        <w:tabs>
          <w:tab w:val="left" w:pos="1785"/>
        </w:tabs>
        <w:spacing w:line="480" w:lineRule="auto"/>
        <w:ind w:left="1701"/>
        <w:jc w:val="both"/>
      </w:pPr>
      <w:r w:rsidRPr="005577C4">
        <w:tab/>
      </w:r>
      <w:r w:rsidR="00C130E1" w:rsidRPr="005577C4">
        <w:t xml:space="preserve">      </w:t>
      </w:r>
    </w:p>
    <w:p w:rsidR="003834BD" w:rsidRPr="005577C4" w:rsidRDefault="00D32851" w:rsidP="007963CC">
      <w:pPr>
        <w:tabs>
          <w:tab w:val="left" w:pos="1785"/>
        </w:tabs>
        <w:spacing w:line="480" w:lineRule="auto"/>
        <w:jc w:val="both"/>
      </w:pPr>
      <w:r w:rsidRPr="005577C4">
        <w:t xml:space="preserve">  </w:t>
      </w:r>
      <w:r w:rsidR="00B46215" w:rsidRPr="005577C4">
        <w:t xml:space="preserve">               </w:t>
      </w:r>
    </w:p>
    <w:p w:rsidR="00D32851" w:rsidRPr="005577C4" w:rsidRDefault="003834BD" w:rsidP="007963CC">
      <w:pPr>
        <w:tabs>
          <w:tab w:val="left" w:pos="1785"/>
        </w:tabs>
        <w:spacing w:line="480" w:lineRule="auto"/>
        <w:jc w:val="both"/>
      </w:pPr>
      <w:r w:rsidRPr="005577C4">
        <w:t xml:space="preserve">           </w:t>
      </w:r>
      <w:r w:rsidR="00D32851" w:rsidRPr="005577C4">
        <w:t xml:space="preserve">  Members agree</w:t>
      </w:r>
    </w:p>
    <w:p w:rsidR="00D106DC" w:rsidRPr="005577C4" w:rsidRDefault="00D106DC" w:rsidP="007963CC">
      <w:pPr>
        <w:tabs>
          <w:tab w:val="left" w:pos="1785"/>
        </w:tabs>
        <w:spacing w:line="480" w:lineRule="auto"/>
        <w:jc w:val="both"/>
      </w:pPr>
    </w:p>
    <w:p w:rsidR="00D32851" w:rsidRPr="005577C4" w:rsidRDefault="00B46215" w:rsidP="007963CC">
      <w:pPr>
        <w:tabs>
          <w:tab w:val="left" w:pos="1785"/>
        </w:tabs>
        <w:spacing w:line="480" w:lineRule="auto"/>
        <w:jc w:val="both"/>
      </w:pPr>
      <w:r w:rsidRPr="005577C4">
        <w:t xml:space="preserve">            </w:t>
      </w:r>
      <w:r w:rsidR="00D106DC" w:rsidRPr="005577C4">
        <w:t>_________________________</w:t>
      </w:r>
    </w:p>
    <w:p w:rsidR="00D32851" w:rsidRPr="005577C4" w:rsidRDefault="00B46215" w:rsidP="007963CC">
      <w:pPr>
        <w:tabs>
          <w:tab w:val="left" w:pos="1785"/>
        </w:tabs>
        <w:spacing w:line="276" w:lineRule="auto"/>
        <w:jc w:val="both"/>
        <w:rPr>
          <w:b/>
        </w:rPr>
      </w:pPr>
      <w:r w:rsidRPr="005577C4">
        <w:rPr>
          <w:b/>
        </w:rPr>
        <w:t xml:space="preserve">                  </w:t>
      </w:r>
      <w:r w:rsidR="00D32851" w:rsidRPr="005577C4">
        <w:rPr>
          <w:b/>
        </w:rPr>
        <w:t xml:space="preserve">   </w:t>
      </w:r>
      <w:r w:rsidR="00D106DC" w:rsidRPr="005577C4">
        <w:rPr>
          <w:b/>
        </w:rPr>
        <w:t>D. MAZIBUKO</w:t>
      </w:r>
      <w:r w:rsidR="00D32851" w:rsidRPr="005577C4">
        <w:rPr>
          <w:b/>
        </w:rPr>
        <w:t xml:space="preserve"> </w:t>
      </w:r>
    </w:p>
    <w:p w:rsidR="00D106DC" w:rsidRPr="005577C4" w:rsidRDefault="00B46215" w:rsidP="007963CC">
      <w:pPr>
        <w:tabs>
          <w:tab w:val="left" w:pos="1785"/>
        </w:tabs>
        <w:spacing w:line="276" w:lineRule="auto"/>
        <w:jc w:val="both"/>
        <w:rPr>
          <w:b/>
        </w:rPr>
      </w:pPr>
      <w:r w:rsidRPr="005577C4">
        <w:rPr>
          <w:b/>
        </w:rPr>
        <w:t xml:space="preserve">           </w:t>
      </w:r>
      <w:r w:rsidR="00D106DC" w:rsidRPr="005577C4">
        <w:rPr>
          <w:b/>
        </w:rPr>
        <w:t>INDUSTRIAL COURT JUDGE</w:t>
      </w:r>
    </w:p>
    <w:p w:rsidR="003834BD" w:rsidRPr="005577C4" w:rsidRDefault="003834BD" w:rsidP="007963CC">
      <w:pPr>
        <w:tabs>
          <w:tab w:val="left" w:pos="1785"/>
        </w:tabs>
        <w:spacing w:line="276" w:lineRule="auto"/>
        <w:jc w:val="both"/>
        <w:rPr>
          <w:b/>
        </w:rPr>
      </w:pPr>
    </w:p>
    <w:p w:rsidR="003834BD" w:rsidRPr="005577C4" w:rsidRDefault="003834BD" w:rsidP="007963CC">
      <w:pPr>
        <w:tabs>
          <w:tab w:val="left" w:pos="1785"/>
        </w:tabs>
        <w:spacing w:line="276" w:lineRule="auto"/>
        <w:jc w:val="both"/>
        <w:rPr>
          <w:b/>
        </w:rPr>
      </w:pPr>
    </w:p>
    <w:p w:rsidR="00D32851" w:rsidRPr="005577C4" w:rsidRDefault="00D32851" w:rsidP="007963CC">
      <w:pPr>
        <w:tabs>
          <w:tab w:val="left" w:pos="1785"/>
        </w:tabs>
        <w:spacing w:line="480" w:lineRule="auto"/>
        <w:ind w:left="2115"/>
        <w:jc w:val="both"/>
        <w:rPr>
          <w:b/>
        </w:rPr>
      </w:pPr>
    </w:p>
    <w:p w:rsidR="00BC43AB" w:rsidRPr="005577C4" w:rsidRDefault="003834BD" w:rsidP="007963CC">
      <w:pPr>
        <w:tabs>
          <w:tab w:val="left" w:pos="1785"/>
        </w:tabs>
        <w:spacing w:line="480" w:lineRule="auto"/>
        <w:jc w:val="both"/>
      </w:pPr>
      <w:r w:rsidRPr="005577C4">
        <w:t>For Applicant:</w:t>
      </w:r>
      <w:r w:rsidRPr="005577C4">
        <w:tab/>
      </w:r>
      <w:r w:rsidRPr="005577C4">
        <w:tab/>
      </w:r>
      <w:r w:rsidRPr="005577C4">
        <w:tab/>
      </w:r>
      <w:r w:rsidRPr="005577C4">
        <w:tab/>
      </w:r>
      <w:proofErr w:type="spellStart"/>
      <w:r w:rsidRPr="005577C4">
        <w:t>Mr</w:t>
      </w:r>
      <w:proofErr w:type="spellEnd"/>
      <w:r w:rsidRPr="005577C4">
        <w:t xml:space="preserve"> </w:t>
      </w:r>
      <w:proofErr w:type="spellStart"/>
      <w:r w:rsidRPr="005577C4">
        <w:t>N.Ginindza</w:t>
      </w:r>
      <w:proofErr w:type="spellEnd"/>
    </w:p>
    <w:p w:rsidR="00BC43AB" w:rsidRPr="005577C4" w:rsidRDefault="003834BD" w:rsidP="007963CC">
      <w:pPr>
        <w:tabs>
          <w:tab w:val="left" w:pos="1785"/>
        </w:tabs>
        <w:spacing w:line="480" w:lineRule="auto"/>
        <w:jc w:val="both"/>
      </w:pPr>
      <w:r w:rsidRPr="005577C4">
        <w:tab/>
      </w:r>
      <w:r w:rsidRPr="005577C4">
        <w:tab/>
      </w:r>
      <w:r w:rsidRPr="005577C4">
        <w:tab/>
      </w:r>
      <w:r w:rsidRPr="005577C4">
        <w:tab/>
        <w:t xml:space="preserve">N.E. </w:t>
      </w:r>
      <w:proofErr w:type="spellStart"/>
      <w:r w:rsidRPr="005577C4">
        <w:t>Ginindza</w:t>
      </w:r>
      <w:proofErr w:type="spellEnd"/>
      <w:r w:rsidRPr="005577C4">
        <w:t xml:space="preserve"> Attorneys</w:t>
      </w:r>
    </w:p>
    <w:p w:rsidR="003834BD" w:rsidRPr="005577C4" w:rsidRDefault="003834BD" w:rsidP="007963CC">
      <w:pPr>
        <w:tabs>
          <w:tab w:val="left" w:pos="1785"/>
        </w:tabs>
        <w:spacing w:line="480" w:lineRule="auto"/>
        <w:jc w:val="both"/>
      </w:pPr>
    </w:p>
    <w:p w:rsidR="003834BD" w:rsidRPr="005577C4" w:rsidRDefault="003834BD" w:rsidP="007963CC">
      <w:pPr>
        <w:tabs>
          <w:tab w:val="left" w:pos="1785"/>
        </w:tabs>
        <w:spacing w:line="480" w:lineRule="auto"/>
        <w:jc w:val="both"/>
      </w:pPr>
      <w:r w:rsidRPr="005577C4">
        <w:t>For Respondent:</w:t>
      </w:r>
      <w:r w:rsidRPr="005577C4">
        <w:tab/>
      </w:r>
      <w:r w:rsidRPr="005577C4">
        <w:tab/>
      </w:r>
      <w:r w:rsidRPr="005577C4">
        <w:tab/>
        <w:t xml:space="preserve">Mr. M. </w:t>
      </w:r>
      <w:proofErr w:type="spellStart"/>
      <w:r w:rsidRPr="005577C4">
        <w:t>Sibandze</w:t>
      </w:r>
      <w:proofErr w:type="spellEnd"/>
    </w:p>
    <w:p w:rsidR="003834BD" w:rsidRPr="005577C4" w:rsidRDefault="003834BD" w:rsidP="007963CC">
      <w:pPr>
        <w:tabs>
          <w:tab w:val="left" w:pos="1785"/>
        </w:tabs>
        <w:spacing w:line="480" w:lineRule="auto"/>
        <w:jc w:val="both"/>
      </w:pPr>
      <w:r w:rsidRPr="005577C4">
        <w:tab/>
      </w:r>
      <w:r w:rsidRPr="005577C4">
        <w:tab/>
      </w:r>
      <w:r w:rsidRPr="005577C4">
        <w:tab/>
        <w:t xml:space="preserve">         </w:t>
      </w:r>
      <w:proofErr w:type="spellStart"/>
      <w:r w:rsidRPr="005577C4">
        <w:t>M.Sibandze</w:t>
      </w:r>
      <w:proofErr w:type="spellEnd"/>
      <w:r w:rsidRPr="005577C4">
        <w:t xml:space="preserve"> Attorneys</w:t>
      </w:r>
    </w:p>
    <w:sectPr w:rsidR="003834BD" w:rsidRPr="005577C4" w:rsidSect="00632A5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91" w:rsidRDefault="005A6691" w:rsidP="005B1EE7">
      <w:r>
        <w:separator/>
      </w:r>
    </w:p>
  </w:endnote>
  <w:endnote w:type="continuationSeparator" w:id="0">
    <w:p w:rsidR="005A6691" w:rsidRDefault="005A6691" w:rsidP="005B1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04"/>
      <w:docPartObj>
        <w:docPartGallery w:val="Page Numbers (Bottom of Page)"/>
        <w:docPartUnique/>
      </w:docPartObj>
    </w:sdtPr>
    <w:sdtContent>
      <w:p w:rsidR="00391D2D" w:rsidRDefault="007435BE">
        <w:pPr>
          <w:pStyle w:val="Footer"/>
          <w:jc w:val="center"/>
        </w:pPr>
        <w:fldSimple w:instr=" PAGE   \* MERGEFORMAT ">
          <w:r w:rsidR="005577C4">
            <w:rPr>
              <w:noProof/>
            </w:rPr>
            <w:t>1</w:t>
          </w:r>
        </w:fldSimple>
      </w:p>
    </w:sdtContent>
  </w:sdt>
  <w:p w:rsidR="00391D2D" w:rsidRDefault="00391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91" w:rsidRDefault="005A6691" w:rsidP="005B1EE7">
      <w:r>
        <w:separator/>
      </w:r>
    </w:p>
  </w:footnote>
  <w:footnote w:type="continuationSeparator" w:id="0">
    <w:p w:rsidR="005A6691" w:rsidRDefault="005A6691" w:rsidP="005B1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32B"/>
    <w:multiLevelType w:val="hybridMultilevel"/>
    <w:tmpl w:val="A6F20952"/>
    <w:lvl w:ilvl="0" w:tplc="1C09000F">
      <w:start w:val="1"/>
      <w:numFmt w:val="decimal"/>
      <w:lvlText w:val="%1."/>
      <w:lvlJc w:val="left"/>
      <w:pPr>
        <w:ind w:left="855" w:hanging="360"/>
      </w:pPr>
    </w:lvl>
    <w:lvl w:ilvl="1" w:tplc="1C090019">
      <w:start w:val="1"/>
      <w:numFmt w:val="lowerLetter"/>
      <w:lvlText w:val="%2."/>
      <w:lvlJc w:val="left"/>
      <w:pPr>
        <w:ind w:left="1575" w:hanging="360"/>
      </w:pPr>
    </w:lvl>
    <w:lvl w:ilvl="2" w:tplc="1C09001B">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C0A"/>
    <w:rsid w:val="0000460F"/>
    <w:rsid w:val="00091452"/>
    <w:rsid w:val="000A4115"/>
    <w:rsid w:val="000C5C0A"/>
    <w:rsid w:val="000F10FF"/>
    <w:rsid w:val="00153107"/>
    <w:rsid w:val="00153116"/>
    <w:rsid w:val="001E5422"/>
    <w:rsid w:val="00222B1D"/>
    <w:rsid w:val="00235939"/>
    <w:rsid w:val="00240249"/>
    <w:rsid w:val="00282005"/>
    <w:rsid w:val="003834BD"/>
    <w:rsid w:val="00385A58"/>
    <w:rsid w:val="00391D2D"/>
    <w:rsid w:val="003E0A09"/>
    <w:rsid w:val="00413285"/>
    <w:rsid w:val="00446B18"/>
    <w:rsid w:val="00454A7B"/>
    <w:rsid w:val="0047083D"/>
    <w:rsid w:val="00494302"/>
    <w:rsid w:val="004F7250"/>
    <w:rsid w:val="00522AF0"/>
    <w:rsid w:val="00540A1A"/>
    <w:rsid w:val="005577C4"/>
    <w:rsid w:val="00567E38"/>
    <w:rsid w:val="005807AA"/>
    <w:rsid w:val="005A6691"/>
    <w:rsid w:val="005B1EE7"/>
    <w:rsid w:val="005C086E"/>
    <w:rsid w:val="005E2203"/>
    <w:rsid w:val="00622A20"/>
    <w:rsid w:val="00630AA8"/>
    <w:rsid w:val="00632A5E"/>
    <w:rsid w:val="00641625"/>
    <w:rsid w:val="0069570B"/>
    <w:rsid w:val="006C1E7E"/>
    <w:rsid w:val="007015FA"/>
    <w:rsid w:val="007435BE"/>
    <w:rsid w:val="00783195"/>
    <w:rsid w:val="007963CC"/>
    <w:rsid w:val="007E1623"/>
    <w:rsid w:val="00812D1F"/>
    <w:rsid w:val="008424B7"/>
    <w:rsid w:val="008517BC"/>
    <w:rsid w:val="008B426C"/>
    <w:rsid w:val="008E78D8"/>
    <w:rsid w:val="0094562B"/>
    <w:rsid w:val="00A32569"/>
    <w:rsid w:val="00A714A6"/>
    <w:rsid w:val="00AC6E80"/>
    <w:rsid w:val="00B33CEA"/>
    <w:rsid w:val="00B46215"/>
    <w:rsid w:val="00BC43AB"/>
    <w:rsid w:val="00BE7E0B"/>
    <w:rsid w:val="00C130E1"/>
    <w:rsid w:val="00C200FD"/>
    <w:rsid w:val="00C31D43"/>
    <w:rsid w:val="00C427D4"/>
    <w:rsid w:val="00CE3B76"/>
    <w:rsid w:val="00D106DC"/>
    <w:rsid w:val="00D32851"/>
    <w:rsid w:val="00D92ED6"/>
    <w:rsid w:val="00DE79D1"/>
    <w:rsid w:val="00E511D7"/>
    <w:rsid w:val="00E548F5"/>
    <w:rsid w:val="00F31E45"/>
    <w:rsid w:val="00F90E47"/>
    <w:rsid w:val="00FB48FD"/>
    <w:rsid w:val="00FF04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5C0A"/>
    <w:pPr>
      <w:jc w:val="both"/>
    </w:pPr>
    <w:rPr>
      <w:rFonts w:ascii="Tahoma" w:hAnsi="Tahoma" w:cs="Tahoma"/>
      <w:sz w:val="28"/>
    </w:rPr>
  </w:style>
  <w:style w:type="character" w:customStyle="1" w:styleId="BodyTextChar">
    <w:name w:val="Body Text Char"/>
    <w:basedOn w:val="DefaultParagraphFont"/>
    <w:link w:val="BodyText"/>
    <w:rsid w:val="000C5C0A"/>
    <w:rPr>
      <w:rFonts w:ascii="Tahoma" w:eastAsia="Times New Roman" w:hAnsi="Tahoma" w:cs="Tahoma"/>
      <w:sz w:val="28"/>
      <w:szCs w:val="24"/>
      <w:lang w:val="en-US"/>
    </w:rPr>
  </w:style>
  <w:style w:type="paragraph" w:styleId="BalloonText">
    <w:name w:val="Balloon Text"/>
    <w:basedOn w:val="Normal"/>
    <w:link w:val="BalloonTextChar"/>
    <w:uiPriority w:val="99"/>
    <w:semiHidden/>
    <w:unhideWhenUsed/>
    <w:rsid w:val="000C5C0A"/>
    <w:rPr>
      <w:rFonts w:ascii="Tahoma" w:hAnsi="Tahoma" w:cs="Tahoma"/>
      <w:sz w:val="16"/>
      <w:szCs w:val="16"/>
    </w:rPr>
  </w:style>
  <w:style w:type="character" w:customStyle="1" w:styleId="BalloonTextChar">
    <w:name w:val="Balloon Text Char"/>
    <w:basedOn w:val="DefaultParagraphFont"/>
    <w:link w:val="BalloonText"/>
    <w:uiPriority w:val="99"/>
    <w:semiHidden/>
    <w:rsid w:val="000C5C0A"/>
    <w:rPr>
      <w:rFonts w:ascii="Tahoma" w:eastAsia="Times New Roman" w:hAnsi="Tahoma" w:cs="Tahoma"/>
      <w:sz w:val="16"/>
      <w:szCs w:val="16"/>
      <w:lang w:val="en-US"/>
    </w:rPr>
  </w:style>
  <w:style w:type="paragraph" w:styleId="ListParagraph">
    <w:name w:val="List Paragraph"/>
    <w:basedOn w:val="Normal"/>
    <w:uiPriority w:val="34"/>
    <w:qFormat/>
    <w:rsid w:val="00F31E45"/>
    <w:pPr>
      <w:ind w:left="720"/>
      <w:contextualSpacing/>
    </w:pPr>
  </w:style>
  <w:style w:type="paragraph" w:styleId="Header">
    <w:name w:val="header"/>
    <w:basedOn w:val="Normal"/>
    <w:link w:val="HeaderChar"/>
    <w:uiPriority w:val="99"/>
    <w:semiHidden/>
    <w:unhideWhenUsed/>
    <w:rsid w:val="005B1EE7"/>
    <w:pPr>
      <w:tabs>
        <w:tab w:val="center" w:pos="4513"/>
        <w:tab w:val="right" w:pos="9026"/>
      </w:tabs>
    </w:pPr>
  </w:style>
  <w:style w:type="character" w:customStyle="1" w:styleId="HeaderChar">
    <w:name w:val="Header Char"/>
    <w:basedOn w:val="DefaultParagraphFont"/>
    <w:link w:val="Header"/>
    <w:uiPriority w:val="99"/>
    <w:semiHidden/>
    <w:rsid w:val="005B1E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1EE7"/>
    <w:pPr>
      <w:tabs>
        <w:tab w:val="center" w:pos="4513"/>
        <w:tab w:val="right" w:pos="9026"/>
      </w:tabs>
    </w:pPr>
  </w:style>
  <w:style w:type="character" w:customStyle="1" w:styleId="FooterChar">
    <w:name w:val="Footer Char"/>
    <w:basedOn w:val="DefaultParagraphFont"/>
    <w:link w:val="Footer"/>
    <w:uiPriority w:val="99"/>
    <w:rsid w:val="005B1EE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0F2E-03F8-4229-AAD3-118FE449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v</dc:creator>
  <cp:lastModifiedBy>swazilii</cp:lastModifiedBy>
  <cp:revision>2</cp:revision>
  <cp:lastPrinted>2014-04-30T11:19:00Z</cp:lastPrinted>
  <dcterms:created xsi:type="dcterms:W3CDTF">2014-05-05T08:10:00Z</dcterms:created>
  <dcterms:modified xsi:type="dcterms:W3CDTF">2014-05-05T08:10:00Z</dcterms:modified>
</cp:coreProperties>
</file>