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5464" w14:textId="77777777" w:rsidR="006C0D18" w:rsidRDefault="006D15EC">
      <w:pPr>
        <w:spacing w:before="75"/>
        <w:ind w:left="105"/>
        <w:rPr>
          <w:rFonts w:ascii="Times New Roman"/>
          <w:sz w:val="17"/>
        </w:rPr>
      </w:pPr>
      <w:r>
        <w:rPr>
          <w:rFonts w:ascii="Times New Roman"/>
          <w:w w:val="95"/>
          <w:sz w:val="17"/>
        </w:rPr>
        <w:t>. I</w:t>
      </w:r>
    </w:p>
    <w:p w14:paraId="607A8746" w14:textId="77777777" w:rsidR="006C0D18" w:rsidRDefault="006C0D18">
      <w:pPr>
        <w:pStyle w:val="BodyText"/>
        <w:rPr>
          <w:rFonts w:ascii="Times New Roman"/>
          <w:sz w:val="20"/>
        </w:rPr>
      </w:pPr>
    </w:p>
    <w:p w14:paraId="57A46783" w14:textId="77777777" w:rsidR="006C0D18" w:rsidRDefault="006C0D18">
      <w:pPr>
        <w:pStyle w:val="BodyText"/>
        <w:rPr>
          <w:rFonts w:ascii="Times New Roman"/>
          <w:sz w:val="20"/>
        </w:rPr>
      </w:pPr>
    </w:p>
    <w:p w14:paraId="5923F9AF" w14:textId="77777777" w:rsidR="006C0D18" w:rsidRDefault="006C0D18">
      <w:pPr>
        <w:pStyle w:val="BodyText"/>
        <w:rPr>
          <w:rFonts w:ascii="Times New Roman"/>
          <w:sz w:val="20"/>
        </w:rPr>
      </w:pPr>
    </w:p>
    <w:p w14:paraId="542E9A65" w14:textId="77777777" w:rsidR="006C0D18" w:rsidRDefault="006D15EC">
      <w:pPr>
        <w:pStyle w:val="BodyText"/>
        <w:spacing w:before="8"/>
        <w:rPr>
          <w:rFonts w:ascii="Times New Roman"/>
        </w:rPr>
      </w:pPr>
      <w:r>
        <w:rPr>
          <w:noProof/>
        </w:rPr>
        <w:drawing>
          <wp:anchor distT="0" distB="0" distL="0" distR="0" simplePos="0" relativeHeight="251658240" behindDoc="0" locked="0" layoutInCell="1" allowOverlap="1" wp14:anchorId="17E0C091" wp14:editId="24484814">
            <wp:simplePos x="0" y="0"/>
            <wp:positionH relativeFrom="page">
              <wp:posOffset>3079804</wp:posOffset>
            </wp:positionH>
            <wp:positionV relativeFrom="paragraph">
              <wp:posOffset>234779</wp:posOffset>
            </wp:positionV>
            <wp:extent cx="1720283" cy="103327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0283" cy="1033272"/>
                    </a:xfrm>
                    <a:prstGeom prst="rect">
                      <a:avLst/>
                    </a:prstGeom>
                  </pic:spPr>
                </pic:pic>
              </a:graphicData>
            </a:graphic>
          </wp:anchor>
        </w:drawing>
      </w:r>
    </w:p>
    <w:p w14:paraId="1AE5FD25" w14:textId="77777777" w:rsidR="006C0D18" w:rsidRDefault="006D15EC">
      <w:pPr>
        <w:spacing w:before="95"/>
        <w:ind w:left="2827"/>
        <w:rPr>
          <w:b/>
          <w:sz w:val="27"/>
        </w:rPr>
      </w:pPr>
      <w:r>
        <w:rPr>
          <w:b/>
          <w:w w:val="105"/>
          <w:sz w:val="27"/>
          <w:u w:val="thick"/>
        </w:rPr>
        <w:t>IN THE INDUSTRIAL COURT OF ESWATINI</w:t>
      </w:r>
    </w:p>
    <w:p w14:paraId="042D2FDD" w14:textId="77777777" w:rsidR="006C0D18" w:rsidRDefault="006C0D18">
      <w:pPr>
        <w:pStyle w:val="BodyText"/>
        <w:rPr>
          <w:b/>
          <w:sz w:val="30"/>
        </w:rPr>
      </w:pPr>
    </w:p>
    <w:p w14:paraId="5491E655" w14:textId="77777777" w:rsidR="006C0D18" w:rsidRDefault="006C0D18">
      <w:pPr>
        <w:pStyle w:val="BodyText"/>
        <w:spacing w:before="9"/>
        <w:rPr>
          <w:b/>
          <w:sz w:val="25"/>
        </w:rPr>
      </w:pPr>
    </w:p>
    <w:p w14:paraId="7C3E3BCB" w14:textId="77777777" w:rsidR="006C0D18" w:rsidRDefault="006D15EC">
      <w:pPr>
        <w:ind w:right="772"/>
        <w:jc w:val="right"/>
        <w:rPr>
          <w:sz w:val="27"/>
        </w:rPr>
      </w:pPr>
      <w:r>
        <w:rPr>
          <w:w w:val="105"/>
          <w:sz w:val="27"/>
        </w:rPr>
        <w:t>Case No. 119/2020</w:t>
      </w:r>
    </w:p>
    <w:p w14:paraId="7A88D0AE" w14:textId="77777777" w:rsidR="006C0D18" w:rsidRDefault="006C0D18">
      <w:pPr>
        <w:pStyle w:val="BodyText"/>
        <w:rPr>
          <w:sz w:val="30"/>
        </w:rPr>
      </w:pPr>
    </w:p>
    <w:p w14:paraId="6DBA9FD0" w14:textId="77777777" w:rsidR="006C0D18" w:rsidRDefault="006C0D18">
      <w:pPr>
        <w:pStyle w:val="BodyText"/>
        <w:spacing w:before="1"/>
        <w:rPr>
          <w:sz w:val="27"/>
        </w:rPr>
      </w:pPr>
    </w:p>
    <w:p w14:paraId="2B91F177" w14:textId="77777777" w:rsidR="006C0D18" w:rsidRDefault="006D15EC">
      <w:pPr>
        <w:ind w:left="994"/>
        <w:rPr>
          <w:sz w:val="27"/>
        </w:rPr>
      </w:pPr>
      <w:r>
        <w:rPr>
          <w:w w:val="105"/>
          <w:sz w:val="27"/>
        </w:rPr>
        <w:t>In the matter between:</w:t>
      </w:r>
    </w:p>
    <w:p w14:paraId="18E9224C" w14:textId="77777777" w:rsidR="006C0D18" w:rsidRDefault="006C0D18">
      <w:pPr>
        <w:pStyle w:val="BodyText"/>
        <w:spacing w:before="2"/>
        <w:rPr>
          <w:sz w:val="20"/>
        </w:rPr>
      </w:pPr>
    </w:p>
    <w:p w14:paraId="42D57CB3" w14:textId="77777777" w:rsidR="006C0D18" w:rsidRDefault="006C0D18">
      <w:pPr>
        <w:rPr>
          <w:sz w:val="20"/>
        </w:rPr>
        <w:sectPr w:rsidR="006C0D18">
          <w:type w:val="continuous"/>
          <w:pgSz w:w="11910" w:h="16850"/>
          <w:pgMar w:top="400" w:right="380" w:bottom="280" w:left="640" w:header="720" w:footer="720" w:gutter="0"/>
          <w:cols w:space="720"/>
        </w:sectPr>
      </w:pPr>
    </w:p>
    <w:p w14:paraId="131DB69F" w14:textId="77777777" w:rsidR="006C0D18" w:rsidRDefault="006D15EC">
      <w:pPr>
        <w:spacing w:before="99"/>
        <w:ind w:left="1000"/>
        <w:rPr>
          <w:b/>
          <w:sz w:val="27"/>
        </w:rPr>
      </w:pPr>
      <w:r>
        <w:rPr>
          <w:b/>
          <w:w w:val="105"/>
          <w:sz w:val="27"/>
        </w:rPr>
        <w:t>PATRICK MAMBA AND 8 OTHERS</w:t>
      </w:r>
    </w:p>
    <w:p w14:paraId="75F3B232" w14:textId="77777777" w:rsidR="006C0D18" w:rsidRDefault="006C0D18">
      <w:pPr>
        <w:pStyle w:val="BodyText"/>
        <w:rPr>
          <w:b/>
          <w:sz w:val="37"/>
        </w:rPr>
      </w:pPr>
    </w:p>
    <w:p w14:paraId="21083076" w14:textId="77777777" w:rsidR="006C0D18" w:rsidRDefault="006D15EC">
      <w:pPr>
        <w:ind w:left="998"/>
        <w:rPr>
          <w:sz w:val="27"/>
        </w:rPr>
      </w:pPr>
      <w:r>
        <w:rPr>
          <w:w w:val="105"/>
          <w:sz w:val="27"/>
        </w:rPr>
        <w:t>And</w:t>
      </w:r>
    </w:p>
    <w:p w14:paraId="5237E1ED" w14:textId="77777777" w:rsidR="006C0D18" w:rsidRDefault="006C0D18">
      <w:pPr>
        <w:pStyle w:val="BodyText"/>
        <w:rPr>
          <w:sz w:val="37"/>
        </w:rPr>
      </w:pPr>
    </w:p>
    <w:p w14:paraId="44E330BE" w14:textId="77777777" w:rsidR="006C0D18" w:rsidRDefault="006D15EC">
      <w:pPr>
        <w:spacing w:line="283" w:lineRule="auto"/>
        <w:ind w:left="1001" w:right="671" w:firstLine="5"/>
        <w:rPr>
          <w:b/>
          <w:sz w:val="27"/>
        </w:rPr>
      </w:pPr>
      <w:r>
        <w:rPr>
          <w:b/>
          <w:sz w:val="27"/>
        </w:rPr>
        <w:t>THE SWAZILAND ASSOCIATION OF TEACHERS (SNAT)</w:t>
      </w:r>
    </w:p>
    <w:p w14:paraId="5AD1B539" w14:textId="77777777" w:rsidR="006C0D18" w:rsidRDefault="006C0D18">
      <w:pPr>
        <w:pStyle w:val="BodyText"/>
        <w:spacing w:before="7"/>
        <w:rPr>
          <w:b/>
          <w:sz w:val="31"/>
        </w:rPr>
      </w:pPr>
    </w:p>
    <w:p w14:paraId="3A22417F" w14:textId="77777777" w:rsidR="006C0D18" w:rsidRDefault="006D15EC">
      <w:pPr>
        <w:spacing w:line="283" w:lineRule="auto"/>
        <w:ind w:left="1007" w:hanging="8"/>
        <w:rPr>
          <w:b/>
          <w:sz w:val="27"/>
        </w:rPr>
      </w:pPr>
      <w:r>
        <w:rPr>
          <w:b/>
          <w:sz w:val="27"/>
        </w:rPr>
        <w:t>CHAIRPERSON OF THE DISCIPLINARY PROCEEDINGS</w:t>
      </w:r>
    </w:p>
    <w:p w14:paraId="4F376D4B" w14:textId="77777777" w:rsidR="006C0D18" w:rsidRDefault="006D15EC">
      <w:pPr>
        <w:spacing w:before="92"/>
        <w:ind w:left="1540"/>
        <w:rPr>
          <w:sz w:val="27"/>
        </w:rPr>
      </w:pPr>
      <w:r>
        <w:br w:type="column"/>
      </w:r>
      <w:r>
        <w:rPr>
          <w:sz w:val="27"/>
        </w:rPr>
        <w:t>Applicants</w:t>
      </w:r>
    </w:p>
    <w:p w14:paraId="1C68AD04" w14:textId="77777777" w:rsidR="006C0D18" w:rsidRDefault="006C0D18">
      <w:pPr>
        <w:pStyle w:val="BodyText"/>
        <w:rPr>
          <w:sz w:val="30"/>
        </w:rPr>
      </w:pPr>
    </w:p>
    <w:p w14:paraId="76C232F7" w14:textId="77777777" w:rsidR="006C0D18" w:rsidRDefault="006C0D18">
      <w:pPr>
        <w:pStyle w:val="BodyText"/>
        <w:rPr>
          <w:sz w:val="30"/>
        </w:rPr>
      </w:pPr>
    </w:p>
    <w:p w14:paraId="132A16A2" w14:textId="77777777" w:rsidR="006C0D18" w:rsidRDefault="006C0D18">
      <w:pPr>
        <w:pStyle w:val="BodyText"/>
        <w:rPr>
          <w:sz w:val="30"/>
        </w:rPr>
      </w:pPr>
    </w:p>
    <w:p w14:paraId="50B303B7" w14:textId="77777777" w:rsidR="006C0D18" w:rsidRDefault="006C0D18">
      <w:pPr>
        <w:pStyle w:val="BodyText"/>
        <w:rPr>
          <w:sz w:val="43"/>
        </w:rPr>
      </w:pPr>
    </w:p>
    <w:p w14:paraId="7EA26C87" w14:textId="77777777" w:rsidR="006C0D18" w:rsidRDefault="006D15EC">
      <w:pPr>
        <w:ind w:left="998"/>
        <w:rPr>
          <w:sz w:val="27"/>
        </w:rPr>
      </w:pPr>
      <w:r>
        <w:rPr>
          <w:w w:val="105"/>
          <w:sz w:val="27"/>
        </w:rPr>
        <w:t>1</w:t>
      </w:r>
      <w:proofErr w:type="spellStart"/>
      <w:r>
        <w:rPr>
          <w:w w:val="105"/>
          <w:position w:val="10"/>
          <w:sz w:val="17"/>
        </w:rPr>
        <w:t>st</w:t>
      </w:r>
      <w:proofErr w:type="spellEnd"/>
      <w:r>
        <w:rPr>
          <w:w w:val="105"/>
          <w:position w:val="10"/>
          <w:sz w:val="17"/>
        </w:rPr>
        <w:t xml:space="preserve"> </w:t>
      </w:r>
      <w:r>
        <w:rPr>
          <w:w w:val="105"/>
          <w:sz w:val="27"/>
        </w:rPr>
        <w:t>Respondent</w:t>
      </w:r>
    </w:p>
    <w:p w14:paraId="382A6A35" w14:textId="77777777" w:rsidR="006C0D18" w:rsidRDefault="006C0D18">
      <w:pPr>
        <w:pStyle w:val="BodyText"/>
        <w:rPr>
          <w:sz w:val="30"/>
        </w:rPr>
      </w:pPr>
    </w:p>
    <w:p w14:paraId="4E395423" w14:textId="77777777" w:rsidR="006C0D18" w:rsidRDefault="006C0D18">
      <w:pPr>
        <w:pStyle w:val="BodyText"/>
        <w:spacing w:before="6"/>
        <w:rPr>
          <w:sz w:val="38"/>
        </w:rPr>
      </w:pPr>
    </w:p>
    <w:p w14:paraId="085D973D" w14:textId="77777777" w:rsidR="006C0D18" w:rsidRDefault="006D15EC">
      <w:pPr>
        <w:ind w:left="998"/>
        <w:rPr>
          <w:sz w:val="27"/>
        </w:rPr>
      </w:pPr>
      <w:r>
        <w:rPr>
          <w:sz w:val="27"/>
        </w:rPr>
        <w:t>2</w:t>
      </w:r>
      <w:proofErr w:type="spellStart"/>
      <w:r>
        <w:rPr>
          <w:position w:val="9"/>
          <w:sz w:val="18"/>
        </w:rPr>
        <w:t>nd</w:t>
      </w:r>
      <w:proofErr w:type="spellEnd"/>
      <w:r>
        <w:rPr>
          <w:position w:val="9"/>
          <w:sz w:val="18"/>
        </w:rPr>
        <w:t xml:space="preserve">  </w:t>
      </w:r>
      <w:r>
        <w:rPr>
          <w:sz w:val="27"/>
        </w:rPr>
        <w:t>Respondent</w:t>
      </w:r>
    </w:p>
    <w:p w14:paraId="097FAE72" w14:textId="77777777" w:rsidR="006C0D18" w:rsidRDefault="006C0D18">
      <w:pPr>
        <w:rPr>
          <w:sz w:val="27"/>
        </w:rPr>
        <w:sectPr w:rsidR="006C0D18">
          <w:type w:val="continuous"/>
          <w:pgSz w:w="11910" w:h="16850"/>
          <w:pgMar w:top="400" w:right="380" w:bottom="280" w:left="640" w:header="720" w:footer="720" w:gutter="0"/>
          <w:cols w:num="2" w:space="720" w:equalWidth="0">
            <w:col w:w="6217" w:space="646"/>
            <w:col w:w="4027"/>
          </w:cols>
        </w:sectPr>
      </w:pPr>
    </w:p>
    <w:p w14:paraId="0253F022" w14:textId="77777777" w:rsidR="006C0D18" w:rsidRDefault="006C0D18">
      <w:pPr>
        <w:pStyle w:val="BodyText"/>
        <w:rPr>
          <w:sz w:val="20"/>
        </w:rPr>
      </w:pPr>
    </w:p>
    <w:p w14:paraId="692FFBFA" w14:textId="77777777" w:rsidR="006C0D18" w:rsidRDefault="006C0D18">
      <w:pPr>
        <w:pStyle w:val="BodyText"/>
        <w:spacing w:before="8"/>
      </w:pPr>
    </w:p>
    <w:p w14:paraId="70E2856E" w14:textId="77777777" w:rsidR="006C0D18" w:rsidRDefault="006D15EC">
      <w:pPr>
        <w:spacing w:before="92" w:line="244" w:lineRule="auto"/>
        <w:ind w:left="3551" w:right="526" w:hanging="2544"/>
        <w:jc w:val="both"/>
        <w:rPr>
          <w:sz w:val="27"/>
        </w:rPr>
      </w:pPr>
      <w:r>
        <w:rPr>
          <w:b/>
          <w:w w:val="105"/>
          <w:sz w:val="27"/>
        </w:rPr>
        <w:t xml:space="preserve">Neutral citation: </w:t>
      </w:r>
      <w:r>
        <w:rPr>
          <w:w w:val="105"/>
          <w:sz w:val="27"/>
        </w:rPr>
        <w:t>Patrick Mamba and 8 Others v The Swaziland Association of Teachers (SNAT) And Another (119/2020) [2021] SZIC 35 (05 May 2021)</w:t>
      </w:r>
    </w:p>
    <w:p w14:paraId="3D25B51D" w14:textId="77777777" w:rsidR="006C0D18" w:rsidRDefault="006C0D18">
      <w:pPr>
        <w:pStyle w:val="BodyText"/>
        <w:spacing w:before="1"/>
        <w:rPr>
          <w:sz w:val="27"/>
        </w:rPr>
      </w:pPr>
    </w:p>
    <w:p w14:paraId="6AA1DF97" w14:textId="77777777" w:rsidR="006C0D18" w:rsidRDefault="006D15EC">
      <w:pPr>
        <w:tabs>
          <w:tab w:val="left" w:pos="3319"/>
        </w:tabs>
        <w:spacing w:before="1"/>
        <w:ind w:left="1007"/>
        <w:rPr>
          <w:b/>
          <w:sz w:val="27"/>
        </w:rPr>
      </w:pPr>
      <w:r>
        <w:rPr>
          <w:b/>
          <w:w w:val="105"/>
          <w:sz w:val="27"/>
        </w:rPr>
        <w:t>Coram:</w:t>
      </w:r>
      <w:r>
        <w:rPr>
          <w:b/>
          <w:w w:val="105"/>
          <w:sz w:val="27"/>
        </w:rPr>
        <w:tab/>
        <w:t>S. NSIBANDE</w:t>
      </w:r>
      <w:r>
        <w:rPr>
          <w:b/>
          <w:spacing w:val="6"/>
          <w:w w:val="105"/>
          <w:sz w:val="27"/>
        </w:rPr>
        <w:t xml:space="preserve"> </w:t>
      </w:r>
      <w:r>
        <w:rPr>
          <w:b/>
          <w:w w:val="105"/>
          <w:sz w:val="27"/>
        </w:rPr>
        <w:t>J.P.</w:t>
      </w:r>
    </w:p>
    <w:p w14:paraId="5F0B9DB0" w14:textId="77777777" w:rsidR="006C0D18" w:rsidRDefault="006C0D18">
      <w:pPr>
        <w:pStyle w:val="BodyText"/>
        <w:spacing w:before="5"/>
        <w:rPr>
          <w:b/>
          <w:sz w:val="29"/>
        </w:rPr>
      </w:pPr>
    </w:p>
    <w:p w14:paraId="5BAD501D" w14:textId="77777777" w:rsidR="006C0D18" w:rsidRDefault="006D15EC">
      <w:pPr>
        <w:spacing w:line="244" w:lineRule="auto"/>
        <w:ind w:left="3337" w:right="1973" w:hanging="18"/>
        <w:rPr>
          <w:sz w:val="27"/>
        </w:rPr>
      </w:pPr>
      <w:r>
        <w:rPr>
          <w:w w:val="105"/>
          <w:sz w:val="27"/>
        </w:rPr>
        <w:t>(Sitting with M.P. Dlamini and E.L.B. Dlamini Nominated Members of the Court)</w:t>
      </w:r>
    </w:p>
    <w:p w14:paraId="22E746F2" w14:textId="77777777" w:rsidR="006C0D18" w:rsidRDefault="006C0D18">
      <w:pPr>
        <w:pStyle w:val="BodyText"/>
        <w:rPr>
          <w:sz w:val="20"/>
        </w:rPr>
      </w:pPr>
    </w:p>
    <w:p w14:paraId="1D9986A9" w14:textId="77777777" w:rsidR="006C0D18" w:rsidRDefault="006C0D18">
      <w:pPr>
        <w:pStyle w:val="BodyText"/>
        <w:spacing w:before="1"/>
        <w:rPr>
          <w:sz w:val="26"/>
        </w:rPr>
      </w:pPr>
    </w:p>
    <w:p w14:paraId="25CFC595" w14:textId="77777777" w:rsidR="006C0D18" w:rsidRDefault="006C0D18">
      <w:pPr>
        <w:rPr>
          <w:sz w:val="26"/>
        </w:rPr>
        <w:sectPr w:rsidR="006C0D18">
          <w:type w:val="continuous"/>
          <w:pgSz w:w="11910" w:h="16850"/>
          <w:pgMar w:top="400" w:right="380" w:bottom="280" w:left="640" w:header="720" w:footer="720" w:gutter="0"/>
          <w:cols w:space="720"/>
        </w:sectPr>
      </w:pPr>
    </w:p>
    <w:p w14:paraId="2EDBA3D8" w14:textId="77777777" w:rsidR="006C0D18" w:rsidRDefault="006D15EC">
      <w:pPr>
        <w:spacing w:before="91" w:line="484" w:lineRule="auto"/>
        <w:ind w:left="1000" w:right="-14"/>
        <w:rPr>
          <w:b/>
          <w:sz w:val="27"/>
        </w:rPr>
      </w:pPr>
      <w:r>
        <w:rPr>
          <w:b/>
          <w:w w:val="105"/>
          <w:sz w:val="27"/>
        </w:rPr>
        <w:t>Date</w:t>
      </w:r>
      <w:r>
        <w:rPr>
          <w:b/>
          <w:spacing w:val="-29"/>
          <w:w w:val="105"/>
          <w:sz w:val="27"/>
        </w:rPr>
        <w:t xml:space="preserve"> </w:t>
      </w:r>
      <w:r>
        <w:rPr>
          <w:b/>
          <w:w w:val="105"/>
          <w:sz w:val="27"/>
        </w:rPr>
        <w:t>Heard: Delivered:</w:t>
      </w:r>
    </w:p>
    <w:p w14:paraId="3B297095" w14:textId="77777777" w:rsidR="006C0D18" w:rsidRDefault="006D15EC">
      <w:pPr>
        <w:spacing w:before="106"/>
        <w:ind w:left="735"/>
        <w:rPr>
          <w:sz w:val="27"/>
        </w:rPr>
      </w:pPr>
      <w:r>
        <w:br w:type="column"/>
      </w:r>
      <w:r>
        <w:rPr>
          <w:w w:val="105"/>
          <w:sz w:val="27"/>
        </w:rPr>
        <w:t>11 December 2020</w:t>
      </w:r>
    </w:p>
    <w:p w14:paraId="3FD0D92C" w14:textId="77777777" w:rsidR="006C0D18" w:rsidRDefault="006C0D18">
      <w:pPr>
        <w:pStyle w:val="BodyText"/>
        <w:spacing w:before="6"/>
        <w:rPr>
          <w:sz w:val="27"/>
        </w:rPr>
      </w:pPr>
    </w:p>
    <w:p w14:paraId="4A284D0B" w14:textId="77777777" w:rsidR="006C0D18" w:rsidRDefault="006D15EC">
      <w:pPr>
        <w:ind w:left="760"/>
        <w:rPr>
          <w:sz w:val="27"/>
        </w:rPr>
      </w:pPr>
      <w:r>
        <w:rPr>
          <w:w w:val="105"/>
          <w:sz w:val="27"/>
        </w:rPr>
        <w:t>05 May 2021</w:t>
      </w:r>
    </w:p>
    <w:p w14:paraId="07207398" w14:textId="77777777" w:rsidR="006C0D18" w:rsidRDefault="006C0D18">
      <w:pPr>
        <w:rPr>
          <w:sz w:val="27"/>
        </w:rPr>
        <w:sectPr w:rsidR="006C0D18">
          <w:type w:val="continuous"/>
          <w:pgSz w:w="11910" w:h="16850"/>
          <w:pgMar w:top="400" w:right="380" w:bottom="280" w:left="640" w:header="720" w:footer="720" w:gutter="0"/>
          <w:cols w:num="2" w:space="720" w:equalWidth="0">
            <w:col w:w="2569" w:space="40"/>
            <w:col w:w="8281"/>
          </w:cols>
        </w:sectPr>
      </w:pPr>
    </w:p>
    <w:p w14:paraId="02FF4479" w14:textId="77777777" w:rsidR="006C0D18" w:rsidRDefault="006D15EC">
      <w:pPr>
        <w:pStyle w:val="BodyText"/>
        <w:spacing w:before="6"/>
        <w:rPr>
          <w:sz w:val="9"/>
        </w:rPr>
      </w:pPr>
      <w:r>
        <w:lastRenderedPageBreak/>
        <w:pict w14:anchorId="0401F319">
          <v:line id="_x0000_s2051" style="position:absolute;z-index:1048;mso-position-horizontal-relative:page;mso-position-vertical-relative:page" from="594.35pt,429.5pt" to="594.35pt,380.8pt" strokeweight=".1273mm">
            <w10:wrap anchorx="page" anchory="page"/>
          </v:line>
        </w:pict>
      </w:r>
    </w:p>
    <w:p w14:paraId="15F2768E" w14:textId="77777777" w:rsidR="006C0D18" w:rsidRDefault="006D15EC">
      <w:pPr>
        <w:spacing w:before="92"/>
        <w:ind w:left="4775"/>
        <w:rPr>
          <w:b/>
          <w:sz w:val="27"/>
        </w:rPr>
      </w:pPr>
      <w:r>
        <w:rPr>
          <w:b/>
          <w:sz w:val="27"/>
          <w:u w:val="thick"/>
        </w:rPr>
        <w:t>JUDGMENT</w:t>
      </w:r>
    </w:p>
    <w:p w14:paraId="11BAD997" w14:textId="77777777" w:rsidR="006C0D18" w:rsidRDefault="006C0D18">
      <w:pPr>
        <w:pStyle w:val="BodyText"/>
        <w:rPr>
          <w:b/>
          <w:sz w:val="30"/>
        </w:rPr>
      </w:pPr>
    </w:p>
    <w:p w14:paraId="483A4295" w14:textId="77777777" w:rsidR="006C0D18" w:rsidRDefault="006D15EC">
      <w:pPr>
        <w:pStyle w:val="ListParagraph"/>
        <w:numPr>
          <w:ilvl w:val="0"/>
          <w:numId w:val="2"/>
        </w:numPr>
        <w:tabs>
          <w:tab w:val="left" w:pos="1426"/>
        </w:tabs>
        <w:spacing w:before="239" w:line="494" w:lineRule="auto"/>
        <w:ind w:right="639" w:hanging="538"/>
        <w:jc w:val="both"/>
        <w:rPr>
          <w:sz w:val="27"/>
        </w:rPr>
      </w:pPr>
      <w:r>
        <w:rPr>
          <w:w w:val="105"/>
          <w:sz w:val="27"/>
        </w:rPr>
        <w:t>The Applicants are members of the first respondent (SNAT) under the</w:t>
      </w:r>
      <w:r>
        <w:rPr>
          <w:w w:val="105"/>
          <w:sz w:val="27"/>
        </w:rPr>
        <w:t xml:space="preserve"> </w:t>
      </w:r>
      <w:proofErr w:type="spellStart"/>
      <w:r>
        <w:rPr>
          <w:w w:val="105"/>
          <w:sz w:val="27"/>
        </w:rPr>
        <w:t>Usuthu</w:t>
      </w:r>
      <w:proofErr w:type="spellEnd"/>
      <w:r>
        <w:rPr>
          <w:w w:val="105"/>
          <w:sz w:val="27"/>
        </w:rPr>
        <w:t xml:space="preserve"> Branch (the ninth applicant) of the first respondent. They seek an order in the following</w:t>
      </w:r>
      <w:r>
        <w:rPr>
          <w:spacing w:val="-26"/>
          <w:w w:val="105"/>
          <w:sz w:val="27"/>
        </w:rPr>
        <w:t xml:space="preserve"> </w:t>
      </w:r>
      <w:r>
        <w:rPr>
          <w:w w:val="105"/>
          <w:sz w:val="27"/>
        </w:rPr>
        <w:t>terms:-</w:t>
      </w:r>
    </w:p>
    <w:p w14:paraId="7E1927F7" w14:textId="77777777" w:rsidR="006C0D18" w:rsidRDefault="006D15EC">
      <w:pPr>
        <w:pStyle w:val="ListParagraph"/>
        <w:numPr>
          <w:ilvl w:val="1"/>
          <w:numId w:val="2"/>
        </w:numPr>
        <w:tabs>
          <w:tab w:val="left" w:pos="2206"/>
        </w:tabs>
        <w:spacing w:line="475" w:lineRule="auto"/>
        <w:ind w:right="637" w:hanging="593"/>
        <w:jc w:val="both"/>
        <w:rPr>
          <w:i/>
          <w:sz w:val="29"/>
        </w:rPr>
      </w:pPr>
      <w:r>
        <w:rPr>
          <w:i/>
          <w:sz w:val="28"/>
        </w:rPr>
        <w:t>Declaring to be unlawful and setting aside the decision of the Board of Trustees dated November 2, 2020 in as much as it is inconsistent with the Arti</w:t>
      </w:r>
      <w:r>
        <w:rPr>
          <w:i/>
          <w:sz w:val="28"/>
        </w:rPr>
        <w:t>cle 23 of the Constitution of the</w:t>
      </w:r>
      <w:r>
        <w:rPr>
          <w:i/>
          <w:spacing w:val="-19"/>
          <w:sz w:val="28"/>
        </w:rPr>
        <w:t xml:space="preserve"> </w:t>
      </w:r>
      <w:r>
        <w:rPr>
          <w:i/>
          <w:sz w:val="28"/>
        </w:rPr>
        <w:t>SNA</w:t>
      </w:r>
      <w:r>
        <w:rPr>
          <w:i/>
          <w:sz w:val="29"/>
        </w:rPr>
        <w:t>T.</w:t>
      </w:r>
    </w:p>
    <w:p w14:paraId="261F26C4" w14:textId="77777777" w:rsidR="006C0D18" w:rsidRDefault="006D15EC">
      <w:pPr>
        <w:pStyle w:val="ListParagraph"/>
        <w:numPr>
          <w:ilvl w:val="1"/>
          <w:numId w:val="2"/>
        </w:numPr>
        <w:tabs>
          <w:tab w:val="left" w:pos="1961"/>
        </w:tabs>
        <w:spacing w:line="470" w:lineRule="auto"/>
        <w:ind w:right="629" w:hanging="672"/>
        <w:jc w:val="both"/>
        <w:rPr>
          <w:i/>
          <w:sz w:val="29"/>
        </w:rPr>
      </w:pPr>
      <w:r>
        <w:rPr>
          <w:i/>
          <w:sz w:val="28"/>
        </w:rPr>
        <w:t xml:space="preserve">Declaring to be unlawful and setting aside decision mentioned in </w:t>
      </w:r>
      <w:r>
        <w:rPr>
          <w:i/>
          <w:sz w:val="28"/>
        </w:rPr>
        <w:t>paragraph 1 above in as much as it is an improper interpretation and inconsistent with the Conference resolution 16 of 2016 as read with the Constitution of the</w:t>
      </w:r>
      <w:r>
        <w:rPr>
          <w:i/>
          <w:spacing w:val="11"/>
          <w:sz w:val="28"/>
        </w:rPr>
        <w:t xml:space="preserve"> </w:t>
      </w:r>
      <w:r>
        <w:rPr>
          <w:i/>
          <w:sz w:val="28"/>
        </w:rPr>
        <w:t>SNA</w:t>
      </w:r>
      <w:r>
        <w:rPr>
          <w:i/>
          <w:sz w:val="29"/>
        </w:rPr>
        <w:t>T.</w:t>
      </w:r>
    </w:p>
    <w:p w14:paraId="141F06BF" w14:textId="77777777" w:rsidR="006C0D18" w:rsidRDefault="006D15EC">
      <w:pPr>
        <w:pStyle w:val="ListParagraph"/>
        <w:numPr>
          <w:ilvl w:val="1"/>
          <w:numId w:val="2"/>
        </w:numPr>
        <w:tabs>
          <w:tab w:val="left" w:pos="1946"/>
        </w:tabs>
        <w:spacing w:line="472" w:lineRule="auto"/>
        <w:ind w:left="2013" w:right="640" w:hanging="667"/>
        <w:jc w:val="both"/>
        <w:rPr>
          <w:i/>
          <w:sz w:val="28"/>
        </w:rPr>
      </w:pPr>
      <w:r>
        <w:rPr>
          <w:i/>
          <w:sz w:val="28"/>
        </w:rPr>
        <w:t>Declaring to be unlawful and setting aside the said decision in as much as it is inconsis</w:t>
      </w:r>
      <w:r>
        <w:rPr>
          <w:i/>
          <w:sz w:val="28"/>
        </w:rPr>
        <w:t>tent with the Constitution of the SNAT as read with Section 98 of the Industrial Relations Act (the Act) and with the Constitution of Swaziland, 2005 [the</w:t>
      </w:r>
      <w:r>
        <w:rPr>
          <w:i/>
          <w:spacing w:val="-26"/>
          <w:sz w:val="28"/>
        </w:rPr>
        <w:t xml:space="preserve"> </w:t>
      </w:r>
      <w:r>
        <w:rPr>
          <w:i/>
          <w:sz w:val="28"/>
        </w:rPr>
        <w:t>Constitution].</w:t>
      </w:r>
    </w:p>
    <w:p w14:paraId="05528330" w14:textId="77777777" w:rsidR="006C0D18" w:rsidRDefault="006C0D18">
      <w:pPr>
        <w:pStyle w:val="BodyText"/>
        <w:rPr>
          <w:i/>
          <w:sz w:val="30"/>
        </w:rPr>
      </w:pPr>
    </w:p>
    <w:p w14:paraId="497F8BF3" w14:textId="77777777" w:rsidR="006C0D18" w:rsidRDefault="006C0D18">
      <w:pPr>
        <w:pStyle w:val="BodyText"/>
        <w:spacing w:before="4"/>
        <w:rPr>
          <w:i/>
          <w:sz w:val="24"/>
        </w:rPr>
      </w:pPr>
    </w:p>
    <w:p w14:paraId="3D28B601" w14:textId="77777777" w:rsidR="006C0D18" w:rsidRDefault="006D15EC">
      <w:pPr>
        <w:ind w:left="1887"/>
        <w:rPr>
          <w:sz w:val="27"/>
        </w:rPr>
      </w:pPr>
      <w:r>
        <w:rPr>
          <w:w w:val="105"/>
          <w:sz w:val="27"/>
        </w:rPr>
        <w:t>The application is opposed by the respondents.</w:t>
      </w:r>
    </w:p>
    <w:p w14:paraId="5DDB1E33" w14:textId="77777777" w:rsidR="006C0D18" w:rsidRDefault="006C0D18">
      <w:pPr>
        <w:pStyle w:val="BodyText"/>
        <w:rPr>
          <w:sz w:val="30"/>
        </w:rPr>
      </w:pPr>
    </w:p>
    <w:p w14:paraId="3A228290" w14:textId="77777777" w:rsidR="006C0D18" w:rsidRDefault="006C0D18">
      <w:pPr>
        <w:pStyle w:val="BodyText"/>
        <w:rPr>
          <w:sz w:val="30"/>
        </w:rPr>
      </w:pPr>
    </w:p>
    <w:p w14:paraId="58F7A7B3" w14:textId="77777777" w:rsidR="006C0D18" w:rsidRDefault="006C0D18">
      <w:pPr>
        <w:pStyle w:val="BodyText"/>
        <w:rPr>
          <w:sz w:val="24"/>
        </w:rPr>
      </w:pPr>
    </w:p>
    <w:p w14:paraId="2FE9729E" w14:textId="77777777" w:rsidR="006C0D18" w:rsidRDefault="006D15EC">
      <w:pPr>
        <w:pStyle w:val="ListParagraph"/>
        <w:numPr>
          <w:ilvl w:val="0"/>
          <w:numId w:val="2"/>
        </w:numPr>
        <w:tabs>
          <w:tab w:val="left" w:pos="1691"/>
          <w:tab w:val="left" w:pos="1692"/>
        </w:tabs>
        <w:spacing w:line="489" w:lineRule="auto"/>
        <w:ind w:left="1709" w:right="690" w:hanging="845"/>
        <w:jc w:val="left"/>
        <w:rPr>
          <w:sz w:val="27"/>
        </w:rPr>
      </w:pPr>
      <w:r>
        <w:rPr>
          <w:w w:val="105"/>
          <w:sz w:val="27"/>
        </w:rPr>
        <w:t>Applicants initially brought an application against the respondents, under a certificate of urgency in May 2020. In that</w:t>
      </w:r>
      <w:r>
        <w:rPr>
          <w:spacing w:val="52"/>
          <w:w w:val="105"/>
          <w:sz w:val="27"/>
        </w:rPr>
        <w:t xml:space="preserve"> </w:t>
      </w:r>
      <w:r>
        <w:rPr>
          <w:w w:val="105"/>
          <w:sz w:val="27"/>
        </w:rPr>
        <w:t>application</w:t>
      </w:r>
    </w:p>
    <w:p w14:paraId="29DEE327" w14:textId="77777777" w:rsidR="006C0D18" w:rsidRDefault="006C0D18">
      <w:pPr>
        <w:spacing w:line="489" w:lineRule="auto"/>
        <w:rPr>
          <w:sz w:val="27"/>
        </w:rPr>
        <w:sectPr w:rsidR="006C0D18">
          <w:footerReference w:type="default" r:id="rId8"/>
          <w:pgSz w:w="11910" w:h="16850"/>
          <w:pgMar w:top="1600" w:right="380" w:bottom="1420" w:left="640" w:header="0" w:footer="1222" w:gutter="0"/>
          <w:pgNumType w:start="2"/>
          <w:cols w:space="720"/>
        </w:sectPr>
      </w:pPr>
    </w:p>
    <w:p w14:paraId="66BD1B25" w14:textId="77777777" w:rsidR="006C0D18" w:rsidRDefault="006D15EC">
      <w:pPr>
        <w:pStyle w:val="BodyText"/>
        <w:spacing w:before="79" w:line="475" w:lineRule="auto"/>
        <w:ind w:left="1734" w:right="596" w:firstLine="4"/>
        <w:jc w:val="both"/>
      </w:pPr>
      <w:r>
        <w:lastRenderedPageBreak/>
        <w:pict w14:anchorId="59D7B2AA">
          <v:line id="_x0000_s2050" style="position:absolute;left:0;text-align:left;z-index:1072;mso-position-horizontal-relative:page;mso-position-vertical-relative:page" from="594pt,317.7pt" to="594pt,278.4pt" strokeweight=".1273mm">
            <w10:wrap anchorx="page" anchory="page"/>
          </v:line>
        </w:pict>
      </w:r>
      <w:r>
        <w:t xml:space="preserve">applicants sought to review and set aside a circular dated </w:t>
      </w:r>
      <w:r>
        <w:rPr>
          <w:spacing w:val="-5"/>
        </w:rPr>
        <w:t>26</w:t>
      </w:r>
      <w:proofErr w:type="spellStart"/>
      <w:r>
        <w:rPr>
          <w:spacing w:val="-5"/>
          <w:position w:val="11"/>
          <w:sz w:val="17"/>
        </w:rPr>
        <w:t>th</w:t>
      </w:r>
      <w:proofErr w:type="spellEnd"/>
      <w:r>
        <w:rPr>
          <w:spacing w:val="-5"/>
          <w:position w:val="11"/>
          <w:sz w:val="17"/>
        </w:rPr>
        <w:t xml:space="preserve"> </w:t>
      </w:r>
      <w:r>
        <w:t xml:space="preserve">November 2019 in so far as it related to participation involvement of members in the </w:t>
      </w:r>
      <w:proofErr w:type="spellStart"/>
      <w:r>
        <w:t>organisation's</w:t>
      </w:r>
      <w:proofErr w:type="spellEnd"/>
      <w:r>
        <w:t xml:space="preserve"> democratic and electoral process in that it is inconsistent with the Constitution of the SNA</w:t>
      </w:r>
      <w:r>
        <w:t xml:space="preserve">T, </w:t>
      </w:r>
      <w:r>
        <w:rPr>
          <w:b/>
          <w:sz w:val="27"/>
        </w:rPr>
        <w:t xml:space="preserve">the Industrial Relations Act 2000 as amended </w:t>
      </w:r>
      <w:r>
        <w:t xml:space="preserve">as read together  with the Constitution; setting aside the decision of the respondent communicated </w:t>
      </w:r>
      <w:r>
        <w:rPr>
          <w:i/>
          <w:sz w:val="27"/>
        </w:rPr>
        <w:t xml:space="preserve">to </w:t>
      </w:r>
      <w:r>
        <w:t>the ninth respondent by letter dated March 27, 2019 on the basis that it is inconsistent with the constitu</w:t>
      </w:r>
      <w:r>
        <w:t xml:space="preserve">tion of the SNAT, the </w:t>
      </w:r>
      <w:r>
        <w:rPr>
          <w:b/>
          <w:sz w:val="27"/>
        </w:rPr>
        <w:t xml:space="preserve">Industrial Relations Act 2000 </w:t>
      </w:r>
      <w:r>
        <w:t>as read together with the Constitution of Swaziland 2005; setting aside the decision of the Respondent suspending the applicants from all activities of the SNAT on the ground that the decision is based on</w:t>
      </w:r>
      <w:r>
        <w:t xml:space="preserve"> the wrong interpretation and implementation of resolution Number 16 of the SNAT Biennial Conference; setting aside the decision to subject the applicants to a disciplinary process  on the ground that the decision is based on the wrong interpretation and i</w:t>
      </w:r>
      <w:r>
        <w:t xml:space="preserve">mplementation of the SNAT conference Resolution therefore constitutes an unlawful act; staying and stopping the disciplinary proceedings instituted against the first to eighth respondents pending </w:t>
      </w:r>
      <w:proofErr w:type="spellStart"/>
      <w:r>
        <w:t>finalisation</w:t>
      </w:r>
      <w:proofErr w:type="spellEnd"/>
      <w:r>
        <w:t xml:space="preserve"> of the matter; directing that the subventions t</w:t>
      </w:r>
      <w:r>
        <w:t>hat have been retained by the</w:t>
      </w:r>
      <w:r>
        <w:rPr>
          <w:spacing w:val="40"/>
        </w:rPr>
        <w:t xml:space="preserve"> </w:t>
      </w:r>
      <w:r>
        <w:t>first</w:t>
      </w:r>
    </w:p>
    <w:p w14:paraId="7FC73B52" w14:textId="77777777" w:rsidR="006C0D18" w:rsidRDefault="006C0D18">
      <w:pPr>
        <w:spacing w:line="475" w:lineRule="auto"/>
        <w:jc w:val="both"/>
        <w:sectPr w:rsidR="006C0D18">
          <w:pgSz w:w="11910" w:h="16850"/>
          <w:pgMar w:top="1360" w:right="380" w:bottom="1580" w:left="640" w:header="0" w:footer="1222" w:gutter="0"/>
          <w:cols w:space="720"/>
        </w:sectPr>
      </w:pPr>
    </w:p>
    <w:p w14:paraId="193BB3AD" w14:textId="77777777" w:rsidR="006C0D18" w:rsidRDefault="006D15EC">
      <w:pPr>
        <w:pStyle w:val="BodyText"/>
        <w:spacing w:before="76" w:line="477" w:lineRule="auto"/>
        <w:ind w:left="1828" w:right="303" w:hanging="5"/>
      </w:pPr>
      <w:r>
        <w:lastRenderedPageBreak/>
        <w:t>respondent since June 2019 be released to the Branch [Ninth Applicant] bank account forthwith.</w:t>
      </w:r>
    </w:p>
    <w:p w14:paraId="2268A321" w14:textId="77777777" w:rsidR="006C0D18" w:rsidRDefault="006C0D18">
      <w:pPr>
        <w:pStyle w:val="BodyText"/>
        <w:rPr>
          <w:sz w:val="30"/>
        </w:rPr>
      </w:pPr>
    </w:p>
    <w:p w14:paraId="2346F412" w14:textId="77777777" w:rsidR="006C0D18" w:rsidRDefault="006C0D18">
      <w:pPr>
        <w:pStyle w:val="BodyText"/>
        <w:spacing w:before="4"/>
        <w:rPr>
          <w:sz w:val="25"/>
        </w:rPr>
      </w:pPr>
    </w:p>
    <w:p w14:paraId="740E0A29" w14:textId="77777777" w:rsidR="006C0D18" w:rsidRDefault="006D15EC">
      <w:pPr>
        <w:pStyle w:val="ListParagraph"/>
        <w:numPr>
          <w:ilvl w:val="0"/>
          <w:numId w:val="2"/>
        </w:numPr>
        <w:tabs>
          <w:tab w:val="left" w:pos="1683"/>
        </w:tabs>
        <w:spacing w:before="1" w:line="477" w:lineRule="auto"/>
        <w:ind w:left="1686" w:right="531" w:hanging="707"/>
        <w:jc w:val="both"/>
        <w:rPr>
          <w:sz w:val="28"/>
        </w:rPr>
      </w:pPr>
      <w:r>
        <w:rPr>
          <w:sz w:val="28"/>
        </w:rPr>
        <w:t xml:space="preserve">Having heard the parties the Court postponed the matter </w:t>
      </w:r>
      <w:r>
        <w:rPr>
          <w:i/>
          <w:sz w:val="27"/>
        </w:rPr>
        <w:t xml:space="preserve">sine die </w:t>
      </w:r>
      <w:r>
        <w:rPr>
          <w:sz w:val="28"/>
        </w:rPr>
        <w:t>and directed that the applicants exhaust internal remedies as provided by the SNAT's Constitution. In this regard the applicants  were directed to approach the Board of Trustees with their grievance, in terms  of the relevant article of the SNAT</w:t>
      </w:r>
      <w:r>
        <w:rPr>
          <w:spacing w:val="18"/>
          <w:sz w:val="28"/>
        </w:rPr>
        <w:t xml:space="preserve"> </w:t>
      </w:r>
      <w:r>
        <w:rPr>
          <w:sz w:val="28"/>
        </w:rPr>
        <w:t>constituti</w:t>
      </w:r>
      <w:r>
        <w:rPr>
          <w:sz w:val="28"/>
        </w:rPr>
        <w:t>on.</w:t>
      </w:r>
    </w:p>
    <w:p w14:paraId="59A8CCDD" w14:textId="77777777" w:rsidR="006C0D18" w:rsidRDefault="006C0D18">
      <w:pPr>
        <w:pStyle w:val="BodyText"/>
        <w:rPr>
          <w:sz w:val="30"/>
        </w:rPr>
      </w:pPr>
    </w:p>
    <w:p w14:paraId="3BC831CC" w14:textId="77777777" w:rsidR="006C0D18" w:rsidRDefault="006C0D18">
      <w:pPr>
        <w:pStyle w:val="BodyText"/>
        <w:spacing w:before="8"/>
        <w:rPr>
          <w:sz w:val="25"/>
        </w:rPr>
      </w:pPr>
    </w:p>
    <w:p w14:paraId="0A2B2E16" w14:textId="77777777" w:rsidR="006C0D18" w:rsidRDefault="006D15EC">
      <w:pPr>
        <w:pStyle w:val="ListParagraph"/>
        <w:numPr>
          <w:ilvl w:val="0"/>
          <w:numId w:val="2"/>
        </w:numPr>
        <w:tabs>
          <w:tab w:val="left" w:pos="1688"/>
        </w:tabs>
        <w:spacing w:line="477" w:lineRule="auto"/>
        <w:ind w:left="1701" w:right="517" w:hanging="722"/>
        <w:jc w:val="both"/>
        <w:rPr>
          <w:sz w:val="28"/>
        </w:rPr>
      </w:pPr>
      <w:r>
        <w:rPr>
          <w:sz w:val="28"/>
        </w:rPr>
        <w:t>When the matter came before us the applicants sought to strike out paragraph 5 of the respondent's Answering affidavit on the basis that it was scandalous and vexatious. The respondents  conceded  that the paragraph may be construed as scandalous, indicate</w:t>
      </w:r>
      <w:r>
        <w:rPr>
          <w:sz w:val="28"/>
        </w:rPr>
        <w:t xml:space="preserve">d that it was not their intention to </w:t>
      </w:r>
      <w:proofErr w:type="spellStart"/>
      <w:r>
        <w:rPr>
          <w:sz w:val="28"/>
        </w:rPr>
        <w:t>scandalise</w:t>
      </w:r>
      <w:proofErr w:type="spellEnd"/>
      <w:r>
        <w:rPr>
          <w:sz w:val="28"/>
        </w:rPr>
        <w:t xml:space="preserve"> neither the applicants nor the Court and consequently withdrew the offending</w:t>
      </w:r>
      <w:r>
        <w:rPr>
          <w:spacing w:val="32"/>
          <w:sz w:val="28"/>
        </w:rPr>
        <w:t xml:space="preserve"> </w:t>
      </w:r>
      <w:r>
        <w:rPr>
          <w:sz w:val="28"/>
        </w:rPr>
        <w:t>paragraph.</w:t>
      </w:r>
    </w:p>
    <w:p w14:paraId="3593C6B4" w14:textId="77777777" w:rsidR="006C0D18" w:rsidRDefault="006C0D18">
      <w:pPr>
        <w:pStyle w:val="BodyText"/>
        <w:rPr>
          <w:sz w:val="30"/>
        </w:rPr>
      </w:pPr>
    </w:p>
    <w:p w14:paraId="013AB086" w14:textId="77777777" w:rsidR="006C0D18" w:rsidRDefault="006C0D18">
      <w:pPr>
        <w:pStyle w:val="BodyText"/>
        <w:spacing w:before="6"/>
        <w:rPr>
          <w:sz w:val="24"/>
        </w:rPr>
      </w:pPr>
    </w:p>
    <w:p w14:paraId="4392C2F2" w14:textId="77777777" w:rsidR="006C0D18" w:rsidRDefault="006D15EC">
      <w:pPr>
        <w:pStyle w:val="ListParagraph"/>
        <w:numPr>
          <w:ilvl w:val="0"/>
          <w:numId w:val="2"/>
        </w:numPr>
        <w:tabs>
          <w:tab w:val="left" w:pos="1656"/>
        </w:tabs>
        <w:spacing w:line="472" w:lineRule="auto"/>
        <w:ind w:left="1701" w:right="512" w:hanging="715"/>
        <w:jc w:val="both"/>
        <w:rPr>
          <w:sz w:val="28"/>
        </w:rPr>
      </w:pPr>
      <w:r>
        <w:rPr>
          <w:sz w:val="28"/>
        </w:rPr>
        <w:t xml:space="preserve">The genesis of the dispute between the parties is the interpretation of </w:t>
      </w:r>
      <w:r>
        <w:rPr>
          <w:b/>
          <w:sz w:val="26"/>
        </w:rPr>
        <w:t xml:space="preserve">Conference Resolution 16 of 2016. </w:t>
      </w:r>
      <w:r>
        <w:rPr>
          <w:sz w:val="28"/>
        </w:rPr>
        <w:t>The applican</w:t>
      </w:r>
      <w:r>
        <w:rPr>
          <w:sz w:val="28"/>
        </w:rPr>
        <w:t>ts have a different interpretation of the Resolution while the respondents have their own interpretation of it. The difference in opinion led to the first applicant being disqualified by the first respondent from his position as a</w:t>
      </w:r>
      <w:r>
        <w:rPr>
          <w:spacing w:val="33"/>
          <w:sz w:val="28"/>
        </w:rPr>
        <w:t xml:space="preserve"> </w:t>
      </w:r>
      <w:r>
        <w:rPr>
          <w:sz w:val="28"/>
        </w:rPr>
        <w:t>duly</w:t>
      </w:r>
    </w:p>
    <w:p w14:paraId="704D9594" w14:textId="77777777" w:rsidR="006C0D18" w:rsidRDefault="006C0D18">
      <w:pPr>
        <w:spacing w:line="472" w:lineRule="auto"/>
        <w:jc w:val="both"/>
        <w:rPr>
          <w:sz w:val="28"/>
        </w:rPr>
        <w:sectPr w:rsidR="006C0D18">
          <w:pgSz w:w="11910" w:h="16850"/>
          <w:pgMar w:top="1420" w:right="380" w:bottom="1560" w:left="640" w:header="0" w:footer="1222" w:gutter="0"/>
          <w:cols w:space="720"/>
        </w:sectPr>
      </w:pPr>
    </w:p>
    <w:p w14:paraId="6B7047FF" w14:textId="77777777" w:rsidR="006C0D18" w:rsidRDefault="006D15EC">
      <w:pPr>
        <w:pStyle w:val="BodyText"/>
        <w:spacing w:before="74" w:line="477" w:lineRule="auto"/>
        <w:ind w:left="1788" w:right="442" w:hanging="7"/>
        <w:jc w:val="both"/>
      </w:pPr>
      <w:r>
        <w:lastRenderedPageBreak/>
        <w:t>el</w:t>
      </w:r>
      <w:r>
        <w:t xml:space="preserve">ected chairperson of the ninth applicant (the </w:t>
      </w:r>
      <w:proofErr w:type="spellStart"/>
      <w:r>
        <w:t>Usuthu</w:t>
      </w:r>
      <w:proofErr w:type="spellEnd"/>
      <w:r>
        <w:t xml:space="preserve"> Branch), to disciplinary action being instituted against the first to eighth applicants and to the withholding of the branch subventions that should have paid to the ninth applicant.</w:t>
      </w:r>
    </w:p>
    <w:p w14:paraId="4D86FDF1" w14:textId="77777777" w:rsidR="006C0D18" w:rsidRDefault="006C0D18">
      <w:pPr>
        <w:pStyle w:val="BodyText"/>
        <w:rPr>
          <w:sz w:val="30"/>
        </w:rPr>
      </w:pPr>
    </w:p>
    <w:p w14:paraId="4EC8ED94" w14:textId="77777777" w:rsidR="006C0D18" w:rsidRDefault="006C0D18">
      <w:pPr>
        <w:pStyle w:val="BodyText"/>
        <w:spacing w:before="6"/>
        <w:rPr>
          <w:sz w:val="25"/>
        </w:rPr>
      </w:pPr>
    </w:p>
    <w:p w14:paraId="0D4F173E" w14:textId="77777777" w:rsidR="006C0D18" w:rsidRDefault="006D15EC">
      <w:pPr>
        <w:pStyle w:val="ListParagraph"/>
        <w:numPr>
          <w:ilvl w:val="0"/>
          <w:numId w:val="2"/>
        </w:numPr>
        <w:tabs>
          <w:tab w:val="left" w:pos="1808"/>
        </w:tabs>
        <w:spacing w:before="1" w:line="475" w:lineRule="auto"/>
        <w:ind w:left="1932" w:right="416" w:hanging="773"/>
        <w:jc w:val="both"/>
        <w:rPr>
          <w:b/>
          <w:sz w:val="28"/>
        </w:rPr>
      </w:pPr>
      <w:r>
        <w:rPr>
          <w:sz w:val="28"/>
        </w:rPr>
        <w:t>The applicants are</w:t>
      </w:r>
      <w:r>
        <w:rPr>
          <w:sz w:val="28"/>
        </w:rPr>
        <w:t xml:space="preserve"> dissatisfied with the recommendation made by the Board of Trustees (hereinafter called the BOT), that the </w:t>
      </w:r>
      <w:proofErr w:type="spellStart"/>
      <w:r>
        <w:rPr>
          <w:sz w:val="28"/>
        </w:rPr>
        <w:t>Usuthu</w:t>
      </w:r>
      <w:proofErr w:type="spellEnd"/>
      <w:r>
        <w:rPr>
          <w:sz w:val="28"/>
        </w:rPr>
        <w:t xml:space="preserve"> Branch of SNAT (Ninth applicant) should hold a bi-election for the chairperson's position, respecting the spirit of the resolution  within 14 </w:t>
      </w:r>
      <w:r>
        <w:rPr>
          <w:sz w:val="28"/>
        </w:rPr>
        <w:t>days. They submitted that the BOT could not have exercised its discretion judiciously in coming to the recommendation that it did. In its founding affidavit the applicants state that they were not given a fair opportunity to present their case as the BOT h</w:t>
      </w:r>
      <w:r>
        <w:rPr>
          <w:sz w:val="28"/>
        </w:rPr>
        <w:t xml:space="preserve">ad prejudged the matter and already taken a decision on the matter without having heard the applicants. It is alleged that the Chairperson of the Board put it to the applicants that the ninth applicant was defying </w:t>
      </w:r>
      <w:r>
        <w:rPr>
          <w:b/>
          <w:sz w:val="27"/>
        </w:rPr>
        <w:t>Conference Resolution 16 of 2016.</w:t>
      </w:r>
    </w:p>
    <w:p w14:paraId="2E3B5C26" w14:textId="77777777" w:rsidR="006C0D18" w:rsidRDefault="006C0D18">
      <w:pPr>
        <w:pStyle w:val="BodyText"/>
        <w:rPr>
          <w:b/>
          <w:sz w:val="30"/>
        </w:rPr>
      </w:pPr>
    </w:p>
    <w:p w14:paraId="364AE13E" w14:textId="77777777" w:rsidR="006C0D18" w:rsidRDefault="006C0D18">
      <w:pPr>
        <w:pStyle w:val="BodyText"/>
        <w:spacing w:before="11"/>
        <w:rPr>
          <w:b/>
          <w:sz w:val="27"/>
        </w:rPr>
      </w:pPr>
    </w:p>
    <w:p w14:paraId="71AFCD47" w14:textId="77777777" w:rsidR="006C0D18" w:rsidRDefault="006D15EC">
      <w:pPr>
        <w:pStyle w:val="ListParagraph"/>
        <w:numPr>
          <w:ilvl w:val="0"/>
          <w:numId w:val="2"/>
        </w:numPr>
        <w:tabs>
          <w:tab w:val="left" w:pos="1940"/>
        </w:tabs>
        <w:spacing w:line="470" w:lineRule="auto"/>
        <w:ind w:left="1939" w:right="429" w:hanging="845"/>
        <w:jc w:val="both"/>
        <w:rPr>
          <w:sz w:val="28"/>
        </w:rPr>
      </w:pPr>
      <w:r>
        <w:rPr>
          <w:sz w:val="28"/>
        </w:rPr>
        <w:t>It was</w:t>
      </w:r>
      <w:r>
        <w:rPr>
          <w:sz w:val="28"/>
        </w:rPr>
        <w:t xml:space="preserve"> the applicants' further contention that the BOT informed them that they had a letter or opinion from the Credentials Committee that informed them that </w:t>
      </w:r>
      <w:r>
        <w:rPr>
          <w:b/>
          <w:sz w:val="27"/>
        </w:rPr>
        <w:t xml:space="preserve">Resolution16 of 2016 </w:t>
      </w:r>
      <w:r>
        <w:rPr>
          <w:sz w:val="28"/>
        </w:rPr>
        <w:t>barred the first</w:t>
      </w:r>
      <w:r>
        <w:rPr>
          <w:spacing w:val="-45"/>
          <w:sz w:val="28"/>
        </w:rPr>
        <w:t xml:space="preserve"> </w:t>
      </w:r>
      <w:r>
        <w:rPr>
          <w:sz w:val="28"/>
        </w:rPr>
        <w:t>applicant</w:t>
      </w:r>
    </w:p>
    <w:p w14:paraId="0063211F" w14:textId="77777777" w:rsidR="006C0D18" w:rsidRDefault="006C0D18">
      <w:pPr>
        <w:spacing w:line="470" w:lineRule="auto"/>
        <w:jc w:val="both"/>
        <w:rPr>
          <w:sz w:val="28"/>
        </w:rPr>
        <w:sectPr w:rsidR="006C0D18">
          <w:pgSz w:w="11910" w:h="16850"/>
          <w:pgMar w:top="1480" w:right="380" w:bottom="1520" w:left="640" w:header="0" w:footer="1222" w:gutter="0"/>
          <w:cols w:space="720"/>
        </w:sectPr>
      </w:pPr>
    </w:p>
    <w:p w14:paraId="75FA4D58" w14:textId="77777777" w:rsidR="006C0D18" w:rsidRDefault="006D15EC">
      <w:pPr>
        <w:pStyle w:val="BodyText"/>
        <w:spacing w:before="61" w:line="475" w:lineRule="auto"/>
        <w:ind w:left="1882" w:right="473"/>
        <w:jc w:val="both"/>
      </w:pPr>
      <w:r>
        <w:lastRenderedPageBreak/>
        <w:t>from standing for elections at the Branch level because he had earlier stood for election for the presidency of the SNA</w:t>
      </w:r>
      <w:r>
        <w:rPr>
          <w:sz w:val="27"/>
        </w:rPr>
        <w:t xml:space="preserve">T. </w:t>
      </w:r>
      <w:r>
        <w:t>It was the submission of the applicants that the BOT did not apply itself to the question before it but had acted arbitrarily, irratio</w:t>
      </w:r>
      <w:r>
        <w:t>nally and unreasonably thus its decision stood to be set</w:t>
      </w:r>
      <w:r>
        <w:rPr>
          <w:spacing w:val="11"/>
        </w:rPr>
        <w:t xml:space="preserve"> </w:t>
      </w:r>
      <w:r>
        <w:t>aside.</w:t>
      </w:r>
    </w:p>
    <w:p w14:paraId="1E7613D2" w14:textId="77777777" w:rsidR="006C0D18" w:rsidRDefault="006C0D18">
      <w:pPr>
        <w:pStyle w:val="BodyText"/>
        <w:rPr>
          <w:sz w:val="30"/>
        </w:rPr>
      </w:pPr>
    </w:p>
    <w:p w14:paraId="32E321E7" w14:textId="77777777" w:rsidR="006C0D18" w:rsidRDefault="006C0D18">
      <w:pPr>
        <w:pStyle w:val="BodyText"/>
        <w:spacing w:before="5"/>
        <w:rPr>
          <w:sz w:val="26"/>
        </w:rPr>
      </w:pPr>
    </w:p>
    <w:p w14:paraId="4E9860C0" w14:textId="77777777" w:rsidR="006C0D18" w:rsidRDefault="006D15EC">
      <w:pPr>
        <w:pStyle w:val="ListParagraph"/>
        <w:numPr>
          <w:ilvl w:val="0"/>
          <w:numId w:val="2"/>
        </w:numPr>
        <w:tabs>
          <w:tab w:val="left" w:pos="1808"/>
        </w:tabs>
        <w:spacing w:line="475" w:lineRule="auto"/>
        <w:ind w:left="1898" w:right="438" w:hanging="861"/>
        <w:jc w:val="both"/>
        <w:rPr>
          <w:sz w:val="28"/>
        </w:rPr>
      </w:pPr>
      <w:r>
        <w:rPr>
          <w:sz w:val="28"/>
        </w:rPr>
        <w:t xml:space="preserve">The applicants' further complaint is that the BOT did not have regard for </w:t>
      </w:r>
      <w:r>
        <w:rPr>
          <w:b/>
          <w:sz w:val="27"/>
        </w:rPr>
        <w:t xml:space="preserve">Article 23 </w:t>
      </w:r>
      <w:r>
        <w:rPr>
          <w:sz w:val="28"/>
        </w:rPr>
        <w:t>of the SNAT constitution which lays out the requirements for qualification or disqualification from elect</w:t>
      </w:r>
      <w:r>
        <w:rPr>
          <w:sz w:val="28"/>
        </w:rPr>
        <w:t xml:space="preserve">ion into office; that while it acknowledged that  </w:t>
      </w:r>
      <w:r>
        <w:rPr>
          <w:b/>
          <w:sz w:val="27"/>
        </w:rPr>
        <w:t xml:space="preserve">Conference  Resolution  16 of 2016 </w:t>
      </w:r>
      <w:r>
        <w:rPr>
          <w:sz w:val="28"/>
        </w:rPr>
        <w:t xml:space="preserve">conflicts with </w:t>
      </w:r>
      <w:r>
        <w:rPr>
          <w:b/>
          <w:sz w:val="27"/>
        </w:rPr>
        <w:t xml:space="preserve">Article 23 </w:t>
      </w:r>
      <w:r>
        <w:rPr>
          <w:sz w:val="28"/>
        </w:rPr>
        <w:t xml:space="preserve">of the SNAT constitution, the BOT recommended that the ninth applicant convenes a by-election; and that such recommendation is beyond the powers </w:t>
      </w:r>
      <w:r>
        <w:rPr>
          <w:sz w:val="28"/>
        </w:rPr>
        <w:t xml:space="preserve">of the BOT as set out in </w:t>
      </w:r>
      <w:r>
        <w:rPr>
          <w:b/>
          <w:sz w:val="27"/>
        </w:rPr>
        <w:t xml:space="preserve">Article 14 </w:t>
      </w:r>
      <w:r>
        <w:rPr>
          <w:sz w:val="28"/>
        </w:rPr>
        <w:t xml:space="preserve">of the constitution.  In a nutshell  the  applicants case is that if </w:t>
      </w:r>
      <w:r>
        <w:rPr>
          <w:b/>
          <w:sz w:val="27"/>
        </w:rPr>
        <w:t xml:space="preserve">Conference Resolution 16 of 2016 </w:t>
      </w:r>
      <w:r>
        <w:rPr>
          <w:sz w:val="28"/>
        </w:rPr>
        <w:t>is in conflict with the constitution then it is unreasonable and unlawful for the BOT to recommend a by-election inste</w:t>
      </w:r>
      <w:r>
        <w:rPr>
          <w:sz w:val="28"/>
        </w:rPr>
        <w:t>ad of recommending that the resolution be revisited to bring it into line with the constitution. In argument Mr. Maseko for the applicants pointed out that the constitution could not be mended through a resolution but through the relevant articles of the f</w:t>
      </w:r>
      <w:r>
        <w:rPr>
          <w:sz w:val="28"/>
        </w:rPr>
        <w:t>irst respondent's</w:t>
      </w:r>
      <w:r>
        <w:rPr>
          <w:spacing w:val="16"/>
          <w:sz w:val="28"/>
        </w:rPr>
        <w:t xml:space="preserve"> </w:t>
      </w:r>
      <w:r>
        <w:rPr>
          <w:sz w:val="28"/>
        </w:rPr>
        <w:t>constitution.</w:t>
      </w:r>
    </w:p>
    <w:p w14:paraId="46C48AAE" w14:textId="77777777" w:rsidR="006C0D18" w:rsidRDefault="006C0D18">
      <w:pPr>
        <w:spacing w:line="475" w:lineRule="auto"/>
        <w:jc w:val="both"/>
        <w:rPr>
          <w:sz w:val="28"/>
        </w:rPr>
        <w:sectPr w:rsidR="006C0D18">
          <w:pgSz w:w="11910" w:h="16850"/>
          <w:pgMar w:top="1500" w:right="380" w:bottom="1500" w:left="640" w:header="0" w:footer="1222" w:gutter="0"/>
          <w:cols w:space="720"/>
        </w:sectPr>
      </w:pPr>
    </w:p>
    <w:p w14:paraId="7D090262" w14:textId="77777777" w:rsidR="006C0D18" w:rsidRDefault="006D15EC">
      <w:pPr>
        <w:pStyle w:val="ListParagraph"/>
        <w:numPr>
          <w:ilvl w:val="0"/>
          <w:numId w:val="2"/>
        </w:numPr>
        <w:tabs>
          <w:tab w:val="left" w:pos="1887"/>
        </w:tabs>
        <w:spacing w:before="74" w:line="477" w:lineRule="auto"/>
        <w:ind w:left="1949" w:right="378" w:hanging="840"/>
        <w:jc w:val="both"/>
        <w:rPr>
          <w:sz w:val="28"/>
        </w:rPr>
      </w:pPr>
      <w:r>
        <w:rPr>
          <w:sz w:val="28"/>
        </w:rPr>
        <w:lastRenderedPageBreak/>
        <w:t xml:space="preserve">The respondents' argument was in the </w:t>
      </w:r>
      <w:proofErr w:type="spellStart"/>
      <w:r>
        <w:rPr>
          <w:sz w:val="28"/>
        </w:rPr>
        <w:t>apposite</w:t>
      </w:r>
      <w:proofErr w:type="spellEnd"/>
      <w:r>
        <w:rPr>
          <w:sz w:val="28"/>
        </w:rPr>
        <w:t xml:space="preserve">. While agreeing that an </w:t>
      </w:r>
      <w:proofErr w:type="spellStart"/>
      <w:r>
        <w:rPr>
          <w:sz w:val="28"/>
        </w:rPr>
        <w:t>organisation</w:t>
      </w:r>
      <w:proofErr w:type="spellEnd"/>
      <w:r>
        <w:rPr>
          <w:sz w:val="28"/>
        </w:rPr>
        <w:t xml:space="preserve"> could not lawfully ignore or violate its own constitution, the respondents submitted  that  </w:t>
      </w:r>
      <w:r>
        <w:rPr>
          <w:b/>
          <w:sz w:val="27"/>
        </w:rPr>
        <w:t>Conference Resolution 16 of 201</w:t>
      </w:r>
      <w:r>
        <w:rPr>
          <w:b/>
          <w:sz w:val="27"/>
        </w:rPr>
        <w:t xml:space="preserve">6 </w:t>
      </w:r>
      <w:r>
        <w:rPr>
          <w:sz w:val="28"/>
        </w:rPr>
        <w:t xml:space="preserve">was properly raised and passed  at conference and therefore stands and cannot be circumvented by the applicants in any way; that the resolution can have the effect of amending the constitution because it was approved by a majority at </w:t>
      </w:r>
      <w:r>
        <w:rPr>
          <w:b/>
          <w:sz w:val="27"/>
        </w:rPr>
        <w:t xml:space="preserve">the National General Conference in terms of Article 32.1 of the constitution; </w:t>
      </w:r>
      <w:r>
        <w:rPr>
          <w:sz w:val="28"/>
        </w:rPr>
        <w:t>that the BOT's decision that the ninth respondent should hold to bi-elections effectively means that the resolution is constitutional; and finally that, with the BOT having acted</w:t>
      </w:r>
      <w:r>
        <w:rPr>
          <w:sz w:val="28"/>
        </w:rPr>
        <w:t xml:space="preserve"> within its powers it was not open to the applicants to query its decision without setting out how it was irrational particularly since the applicants have not been excluded from participating in the contestation for leadership positions within the first r</w:t>
      </w:r>
      <w:r>
        <w:rPr>
          <w:sz w:val="28"/>
        </w:rPr>
        <w:t>espondent - all members, not just the applicants, were merely being limited to either a contestation for a national position or one for a branch</w:t>
      </w:r>
      <w:r>
        <w:rPr>
          <w:spacing w:val="17"/>
          <w:sz w:val="28"/>
        </w:rPr>
        <w:t xml:space="preserve"> </w:t>
      </w:r>
      <w:r>
        <w:rPr>
          <w:sz w:val="28"/>
        </w:rPr>
        <w:t>position.</w:t>
      </w:r>
    </w:p>
    <w:p w14:paraId="5DAD6D40" w14:textId="77777777" w:rsidR="006C0D18" w:rsidRDefault="006C0D18">
      <w:pPr>
        <w:pStyle w:val="BodyText"/>
        <w:rPr>
          <w:sz w:val="30"/>
        </w:rPr>
      </w:pPr>
    </w:p>
    <w:p w14:paraId="61450FA2" w14:textId="77777777" w:rsidR="006C0D18" w:rsidRDefault="006C0D18">
      <w:pPr>
        <w:pStyle w:val="BodyText"/>
        <w:spacing w:before="10"/>
        <w:rPr>
          <w:sz w:val="23"/>
        </w:rPr>
      </w:pPr>
    </w:p>
    <w:p w14:paraId="31759C75" w14:textId="77777777" w:rsidR="006C0D18" w:rsidRDefault="006D15EC">
      <w:pPr>
        <w:pStyle w:val="BodyText"/>
        <w:spacing w:line="472" w:lineRule="auto"/>
        <w:ind w:left="1970" w:right="395" w:hanging="862"/>
        <w:jc w:val="both"/>
      </w:pPr>
      <w:r>
        <w:t>[1</w:t>
      </w:r>
      <w:r>
        <w:rPr>
          <w:rFonts w:ascii="Times New Roman"/>
        </w:rPr>
        <w:t xml:space="preserve">O] </w:t>
      </w:r>
      <w:r>
        <w:t xml:space="preserve">The question before us is whether the </w:t>
      </w:r>
      <w:r>
        <w:rPr>
          <w:b/>
          <w:sz w:val="27"/>
        </w:rPr>
        <w:t xml:space="preserve">Conference Resolution 16 of 2016 </w:t>
      </w:r>
      <w:r>
        <w:t>goes against the consti</w:t>
      </w:r>
      <w:r>
        <w:t>tution of the first respondent or not. If it does then that is the end of the matter and the first respondent</w:t>
      </w:r>
    </w:p>
    <w:p w14:paraId="08000FD8" w14:textId="77777777" w:rsidR="006C0D18" w:rsidRDefault="006C0D18">
      <w:pPr>
        <w:spacing w:line="472" w:lineRule="auto"/>
        <w:jc w:val="both"/>
        <w:sectPr w:rsidR="006C0D18">
          <w:pgSz w:w="11910" w:h="16850"/>
          <w:pgMar w:top="1480" w:right="380" w:bottom="1500" w:left="640" w:header="0" w:footer="1222" w:gutter="0"/>
          <w:cols w:space="720"/>
        </w:sectPr>
      </w:pPr>
    </w:p>
    <w:p w14:paraId="056C950F" w14:textId="77777777" w:rsidR="006C0D18" w:rsidRDefault="006D15EC">
      <w:pPr>
        <w:spacing w:before="77" w:line="494" w:lineRule="auto"/>
        <w:ind w:left="2076" w:right="270" w:firstLine="8"/>
        <w:jc w:val="both"/>
        <w:rPr>
          <w:sz w:val="27"/>
        </w:rPr>
      </w:pPr>
      <w:r>
        <w:rPr>
          <w:w w:val="105"/>
          <w:sz w:val="27"/>
        </w:rPr>
        <w:lastRenderedPageBreak/>
        <w:t>have to either revisit the resolution or amend its constitution in order to achieve the objective sought by the resolution. It a</w:t>
      </w:r>
      <w:r>
        <w:rPr>
          <w:w w:val="105"/>
          <w:sz w:val="27"/>
        </w:rPr>
        <w:t>ppears to be common cause that the intention of the resolution was to have candidates who wished to contest for leadership position decide whether to contest at National or Branch level and not have candidates who had failed at National Level contest Branc</w:t>
      </w:r>
      <w:r>
        <w:rPr>
          <w:w w:val="105"/>
          <w:sz w:val="27"/>
        </w:rPr>
        <w:t>h level elections.</w:t>
      </w:r>
    </w:p>
    <w:p w14:paraId="319F0DC8" w14:textId="77777777" w:rsidR="006C0D18" w:rsidRDefault="006C0D18">
      <w:pPr>
        <w:pStyle w:val="BodyText"/>
        <w:rPr>
          <w:sz w:val="30"/>
        </w:rPr>
      </w:pPr>
    </w:p>
    <w:p w14:paraId="3DE08760" w14:textId="77777777" w:rsidR="006C0D18" w:rsidRDefault="006C0D18">
      <w:pPr>
        <w:pStyle w:val="BodyText"/>
        <w:spacing w:before="1"/>
        <w:rPr>
          <w:sz w:val="24"/>
        </w:rPr>
      </w:pPr>
    </w:p>
    <w:p w14:paraId="69B63FEB" w14:textId="77777777" w:rsidR="006C0D18" w:rsidRDefault="006D15EC">
      <w:pPr>
        <w:pStyle w:val="ListParagraph"/>
        <w:numPr>
          <w:ilvl w:val="0"/>
          <w:numId w:val="1"/>
        </w:numPr>
        <w:tabs>
          <w:tab w:val="left" w:pos="1952"/>
          <w:tab w:val="left" w:pos="1953"/>
        </w:tabs>
        <w:ind w:hanging="997"/>
        <w:jc w:val="left"/>
        <w:rPr>
          <w:sz w:val="27"/>
        </w:rPr>
      </w:pPr>
      <w:r>
        <w:rPr>
          <w:b/>
          <w:w w:val="105"/>
          <w:sz w:val="27"/>
        </w:rPr>
        <w:t xml:space="preserve">Conference Resolution 16 of 2016 </w:t>
      </w:r>
      <w:r>
        <w:rPr>
          <w:w w:val="105"/>
          <w:sz w:val="27"/>
        </w:rPr>
        <w:t>reads as</w:t>
      </w:r>
      <w:r>
        <w:rPr>
          <w:spacing w:val="-1"/>
          <w:w w:val="105"/>
          <w:sz w:val="27"/>
        </w:rPr>
        <w:t xml:space="preserve"> </w:t>
      </w:r>
      <w:r>
        <w:rPr>
          <w:w w:val="105"/>
          <w:sz w:val="27"/>
        </w:rPr>
        <w:t>follows;</w:t>
      </w:r>
    </w:p>
    <w:p w14:paraId="0FBF169B" w14:textId="77777777" w:rsidR="006C0D18" w:rsidRDefault="006C0D18">
      <w:pPr>
        <w:pStyle w:val="BodyText"/>
        <w:spacing w:before="9"/>
      </w:pPr>
    </w:p>
    <w:p w14:paraId="30D2F1EE" w14:textId="77777777" w:rsidR="006C0D18" w:rsidRDefault="006D15EC">
      <w:pPr>
        <w:ind w:left="2080"/>
        <w:rPr>
          <w:i/>
          <w:sz w:val="27"/>
        </w:rPr>
      </w:pPr>
      <w:r>
        <w:rPr>
          <w:i/>
          <w:w w:val="105"/>
          <w:sz w:val="27"/>
        </w:rPr>
        <w:t xml:space="preserve">"16. </w:t>
      </w:r>
      <w:r>
        <w:rPr>
          <w:b/>
          <w:i/>
          <w:w w:val="105"/>
          <w:sz w:val="26"/>
        </w:rPr>
        <w:t xml:space="preserve">Type of motion. </w:t>
      </w:r>
      <w:r>
        <w:rPr>
          <w:i/>
          <w:w w:val="105"/>
          <w:sz w:val="27"/>
        </w:rPr>
        <w:t>Organizational</w:t>
      </w:r>
    </w:p>
    <w:p w14:paraId="27980517" w14:textId="77777777" w:rsidR="006C0D18" w:rsidRDefault="006C0D18">
      <w:pPr>
        <w:pStyle w:val="BodyText"/>
        <w:spacing w:before="10"/>
        <w:rPr>
          <w:i/>
        </w:rPr>
      </w:pPr>
    </w:p>
    <w:p w14:paraId="0E07FDBA" w14:textId="77777777" w:rsidR="006C0D18" w:rsidRDefault="006D15EC">
      <w:pPr>
        <w:spacing w:line="470" w:lineRule="auto"/>
        <w:ind w:left="2094" w:right="281" w:firstLine="32"/>
        <w:jc w:val="both"/>
        <w:rPr>
          <w:i/>
          <w:sz w:val="27"/>
        </w:rPr>
      </w:pPr>
      <w:r>
        <w:rPr>
          <w:b/>
          <w:i/>
          <w:sz w:val="26"/>
        </w:rPr>
        <w:t xml:space="preserve">Noting That: </w:t>
      </w:r>
      <w:r>
        <w:rPr>
          <w:i/>
          <w:sz w:val="27"/>
        </w:rPr>
        <w:t xml:space="preserve">it is time wasting to have  the  branch  elective </w:t>
      </w:r>
      <w:r>
        <w:rPr>
          <w:i/>
          <w:sz w:val="27"/>
        </w:rPr>
        <w:t xml:space="preserve">conference and it also makes people who have failed national  elections to think the branch is where one can make </w:t>
      </w:r>
      <w:r>
        <w:rPr>
          <w:rFonts w:ascii="Times New Roman"/>
          <w:sz w:val="33"/>
        </w:rPr>
        <w:t>a</w:t>
      </w:r>
      <w:r>
        <w:rPr>
          <w:rFonts w:ascii="Times New Roman"/>
          <w:spacing w:val="5"/>
          <w:sz w:val="33"/>
        </w:rPr>
        <w:t xml:space="preserve"> </w:t>
      </w:r>
      <w:r>
        <w:rPr>
          <w:i/>
          <w:sz w:val="27"/>
        </w:rPr>
        <w:t>stopover.</w:t>
      </w:r>
    </w:p>
    <w:p w14:paraId="639D8F27" w14:textId="77777777" w:rsidR="006C0D18" w:rsidRDefault="006C0D18">
      <w:pPr>
        <w:pStyle w:val="BodyText"/>
        <w:rPr>
          <w:i/>
          <w:sz w:val="20"/>
        </w:rPr>
      </w:pPr>
    </w:p>
    <w:p w14:paraId="2E89A90E" w14:textId="77777777" w:rsidR="006C0D18" w:rsidRDefault="006C0D18">
      <w:pPr>
        <w:pStyle w:val="BodyText"/>
        <w:spacing w:before="10"/>
        <w:rPr>
          <w:i/>
          <w:sz w:val="22"/>
        </w:rPr>
      </w:pPr>
    </w:p>
    <w:p w14:paraId="72274869" w14:textId="77777777" w:rsidR="006C0D18" w:rsidRDefault="006D15EC">
      <w:pPr>
        <w:spacing w:before="92" w:line="484" w:lineRule="auto"/>
        <w:ind w:left="2098"/>
        <w:rPr>
          <w:i/>
          <w:sz w:val="27"/>
        </w:rPr>
      </w:pPr>
      <w:r>
        <w:rPr>
          <w:b/>
          <w:i/>
          <w:w w:val="105"/>
          <w:sz w:val="26"/>
          <w:u w:val="thick"/>
        </w:rPr>
        <w:t>Believing that:</w:t>
      </w:r>
      <w:r>
        <w:rPr>
          <w:b/>
          <w:i/>
          <w:w w:val="105"/>
          <w:sz w:val="26"/>
        </w:rPr>
        <w:t xml:space="preserve"> </w:t>
      </w:r>
      <w:r>
        <w:rPr>
          <w:i/>
          <w:w w:val="105"/>
          <w:sz w:val="27"/>
        </w:rPr>
        <w:t>branch should be decisive on whether they want to serve at national or branch level.</w:t>
      </w:r>
    </w:p>
    <w:p w14:paraId="6811EB8A" w14:textId="77777777" w:rsidR="006C0D18" w:rsidRDefault="006D15EC">
      <w:pPr>
        <w:spacing w:before="15" w:line="484" w:lineRule="auto"/>
        <w:ind w:left="2095" w:right="303" w:hanging="63"/>
        <w:rPr>
          <w:i/>
          <w:sz w:val="27"/>
        </w:rPr>
      </w:pPr>
      <w:r>
        <w:rPr>
          <w:i/>
          <w:sz w:val="27"/>
        </w:rPr>
        <w:t>Therefore recommended that:</w:t>
      </w:r>
      <w:r>
        <w:rPr>
          <w:i/>
          <w:sz w:val="27"/>
        </w:rPr>
        <w:t xml:space="preserve"> branch elections  should be the same day of the branch</w:t>
      </w:r>
      <w:r>
        <w:rPr>
          <w:i/>
          <w:spacing w:val="45"/>
          <w:sz w:val="27"/>
        </w:rPr>
        <w:t xml:space="preserve"> </w:t>
      </w:r>
      <w:r>
        <w:rPr>
          <w:i/>
          <w:sz w:val="27"/>
        </w:rPr>
        <w:t>conference.</w:t>
      </w:r>
    </w:p>
    <w:p w14:paraId="1285EFAB" w14:textId="77777777" w:rsidR="006C0D18" w:rsidRDefault="006C0D18">
      <w:pPr>
        <w:pStyle w:val="BodyText"/>
        <w:rPr>
          <w:i/>
          <w:sz w:val="20"/>
        </w:rPr>
      </w:pPr>
    </w:p>
    <w:p w14:paraId="37482121" w14:textId="77777777" w:rsidR="006C0D18" w:rsidRDefault="006C0D18">
      <w:pPr>
        <w:pStyle w:val="BodyText"/>
        <w:spacing w:before="2"/>
        <w:rPr>
          <w:i/>
          <w:sz w:val="29"/>
        </w:rPr>
      </w:pPr>
    </w:p>
    <w:p w14:paraId="652BB6B1" w14:textId="77777777" w:rsidR="006C0D18" w:rsidRDefault="006D15EC">
      <w:pPr>
        <w:tabs>
          <w:tab w:val="left" w:pos="3366"/>
          <w:tab w:val="left" w:pos="5497"/>
          <w:tab w:val="left" w:pos="6984"/>
        </w:tabs>
        <w:spacing w:before="92" w:line="468" w:lineRule="auto"/>
        <w:ind w:left="2082" w:right="303" w:hanging="48"/>
        <w:rPr>
          <w:i/>
          <w:sz w:val="27"/>
        </w:rPr>
      </w:pPr>
      <w:r>
        <w:rPr>
          <w:b/>
          <w:i/>
          <w:w w:val="105"/>
          <w:sz w:val="26"/>
          <w:u w:val="thick"/>
        </w:rPr>
        <w:t>MOVER:</w:t>
      </w:r>
      <w:r>
        <w:rPr>
          <w:b/>
          <w:i/>
          <w:w w:val="105"/>
          <w:sz w:val="26"/>
        </w:rPr>
        <w:tab/>
      </w:r>
      <w:r>
        <w:rPr>
          <w:i/>
          <w:w w:val="105"/>
          <w:sz w:val="27"/>
        </w:rPr>
        <w:t>Manzini</w:t>
      </w:r>
      <w:r>
        <w:rPr>
          <w:i/>
          <w:spacing w:val="5"/>
          <w:w w:val="105"/>
          <w:sz w:val="27"/>
        </w:rPr>
        <w:t xml:space="preserve"> </w:t>
      </w:r>
      <w:r>
        <w:rPr>
          <w:i/>
          <w:w w:val="105"/>
          <w:sz w:val="27"/>
        </w:rPr>
        <w:t>region.</w:t>
      </w:r>
      <w:r>
        <w:rPr>
          <w:i/>
          <w:w w:val="105"/>
          <w:sz w:val="27"/>
        </w:rPr>
        <w:tab/>
        <w:t>Seconder:</w:t>
      </w:r>
      <w:r>
        <w:rPr>
          <w:i/>
          <w:w w:val="105"/>
          <w:sz w:val="27"/>
        </w:rPr>
        <w:tab/>
      </w:r>
      <w:proofErr w:type="spellStart"/>
      <w:r>
        <w:rPr>
          <w:i/>
          <w:w w:val="105"/>
          <w:sz w:val="27"/>
        </w:rPr>
        <w:t>Hhohho</w:t>
      </w:r>
      <w:proofErr w:type="spellEnd"/>
      <w:r>
        <w:rPr>
          <w:i/>
          <w:w w:val="105"/>
          <w:sz w:val="27"/>
        </w:rPr>
        <w:t xml:space="preserve">, </w:t>
      </w:r>
      <w:proofErr w:type="spellStart"/>
      <w:r>
        <w:rPr>
          <w:i/>
          <w:w w:val="105"/>
          <w:sz w:val="27"/>
        </w:rPr>
        <w:t>Lubombo</w:t>
      </w:r>
      <w:proofErr w:type="spellEnd"/>
      <w:r>
        <w:rPr>
          <w:i/>
          <w:w w:val="105"/>
          <w:sz w:val="27"/>
        </w:rPr>
        <w:t xml:space="preserve"> Motion in order."</w:t>
      </w:r>
    </w:p>
    <w:p w14:paraId="590C9DFC" w14:textId="77777777" w:rsidR="006C0D18" w:rsidRDefault="006C0D18">
      <w:pPr>
        <w:spacing w:line="468" w:lineRule="auto"/>
        <w:rPr>
          <w:sz w:val="27"/>
        </w:rPr>
        <w:sectPr w:rsidR="006C0D18">
          <w:pgSz w:w="11910" w:h="16850"/>
          <w:pgMar w:top="1580" w:right="380" w:bottom="1420" w:left="640" w:header="0" w:footer="1222" w:gutter="0"/>
          <w:cols w:space="720"/>
        </w:sectPr>
      </w:pPr>
    </w:p>
    <w:p w14:paraId="5415A5C9" w14:textId="77777777" w:rsidR="006C0D18" w:rsidRDefault="006D15EC">
      <w:pPr>
        <w:pStyle w:val="ListParagraph"/>
        <w:numPr>
          <w:ilvl w:val="0"/>
          <w:numId w:val="1"/>
        </w:numPr>
        <w:tabs>
          <w:tab w:val="left" w:pos="2255"/>
        </w:tabs>
        <w:spacing w:before="62" w:line="480" w:lineRule="auto"/>
        <w:ind w:right="135" w:hanging="860"/>
        <w:jc w:val="both"/>
        <w:rPr>
          <w:b/>
          <w:i/>
          <w:sz w:val="27"/>
        </w:rPr>
      </w:pPr>
      <w:r>
        <w:rPr>
          <w:b/>
          <w:w w:val="105"/>
          <w:sz w:val="27"/>
        </w:rPr>
        <w:lastRenderedPageBreak/>
        <w:t>Article</w:t>
      </w:r>
      <w:r>
        <w:rPr>
          <w:b/>
          <w:spacing w:val="-9"/>
          <w:w w:val="105"/>
          <w:sz w:val="27"/>
        </w:rPr>
        <w:t xml:space="preserve"> </w:t>
      </w:r>
      <w:r>
        <w:rPr>
          <w:b/>
          <w:w w:val="105"/>
          <w:sz w:val="27"/>
        </w:rPr>
        <w:t>23</w:t>
      </w:r>
      <w:r>
        <w:rPr>
          <w:b/>
          <w:spacing w:val="-21"/>
          <w:w w:val="105"/>
          <w:sz w:val="27"/>
        </w:rPr>
        <w:t xml:space="preserve"> </w:t>
      </w:r>
      <w:r>
        <w:rPr>
          <w:w w:val="105"/>
          <w:sz w:val="27"/>
        </w:rPr>
        <w:t>of</w:t>
      </w:r>
      <w:r>
        <w:rPr>
          <w:spacing w:val="-29"/>
          <w:w w:val="105"/>
          <w:sz w:val="27"/>
        </w:rPr>
        <w:t xml:space="preserve"> </w:t>
      </w:r>
      <w:r>
        <w:rPr>
          <w:w w:val="105"/>
          <w:sz w:val="27"/>
        </w:rPr>
        <w:t>the</w:t>
      </w:r>
      <w:r>
        <w:rPr>
          <w:spacing w:val="-19"/>
          <w:w w:val="105"/>
          <w:sz w:val="27"/>
        </w:rPr>
        <w:t xml:space="preserve"> </w:t>
      </w:r>
      <w:r>
        <w:rPr>
          <w:w w:val="105"/>
          <w:sz w:val="27"/>
        </w:rPr>
        <w:t>first</w:t>
      </w:r>
      <w:r>
        <w:rPr>
          <w:spacing w:val="-17"/>
          <w:w w:val="105"/>
          <w:sz w:val="27"/>
        </w:rPr>
        <w:t xml:space="preserve"> </w:t>
      </w:r>
      <w:r>
        <w:rPr>
          <w:w w:val="105"/>
          <w:sz w:val="27"/>
        </w:rPr>
        <w:t>respondent's</w:t>
      </w:r>
      <w:r>
        <w:rPr>
          <w:spacing w:val="2"/>
          <w:w w:val="105"/>
          <w:sz w:val="27"/>
        </w:rPr>
        <w:t xml:space="preserve"> </w:t>
      </w:r>
      <w:r>
        <w:rPr>
          <w:w w:val="105"/>
          <w:sz w:val="27"/>
        </w:rPr>
        <w:t>constitution</w:t>
      </w:r>
      <w:r>
        <w:rPr>
          <w:spacing w:val="-12"/>
          <w:w w:val="105"/>
          <w:sz w:val="27"/>
        </w:rPr>
        <w:t xml:space="preserve"> </w:t>
      </w:r>
      <w:r>
        <w:rPr>
          <w:w w:val="105"/>
          <w:sz w:val="27"/>
        </w:rPr>
        <w:t>regulates</w:t>
      </w:r>
      <w:r>
        <w:rPr>
          <w:spacing w:val="-9"/>
          <w:w w:val="105"/>
          <w:sz w:val="27"/>
        </w:rPr>
        <w:t xml:space="preserve"> </w:t>
      </w:r>
      <w:r>
        <w:rPr>
          <w:w w:val="105"/>
          <w:sz w:val="27"/>
        </w:rPr>
        <w:t>the</w:t>
      </w:r>
      <w:r>
        <w:rPr>
          <w:spacing w:val="-19"/>
          <w:w w:val="105"/>
          <w:sz w:val="27"/>
        </w:rPr>
        <w:t xml:space="preserve"> </w:t>
      </w:r>
      <w:r>
        <w:rPr>
          <w:w w:val="105"/>
          <w:sz w:val="27"/>
        </w:rPr>
        <w:t xml:space="preserve">election process within the </w:t>
      </w:r>
      <w:proofErr w:type="spellStart"/>
      <w:r>
        <w:rPr>
          <w:w w:val="105"/>
          <w:sz w:val="27"/>
        </w:rPr>
        <w:t>organisation</w:t>
      </w:r>
      <w:proofErr w:type="spellEnd"/>
      <w:r>
        <w:rPr>
          <w:w w:val="105"/>
          <w:sz w:val="27"/>
        </w:rPr>
        <w:t xml:space="preserve">. </w:t>
      </w:r>
      <w:r>
        <w:rPr>
          <w:b/>
          <w:w w:val="105"/>
          <w:sz w:val="27"/>
        </w:rPr>
        <w:t xml:space="preserve">Article 23.1.1 </w:t>
      </w:r>
      <w:r>
        <w:rPr>
          <w:w w:val="105"/>
          <w:sz w:val="27"/>
        </w:rPr>
        <w:t xml:space="preserve">states that - </w:t>
      </w:r>
      <w:r>
        <w:rPr>
          <w:b/>
          <w:i/>
          <w:w w:val="105"/>
          <w:sz w:val="27"/>
        </w:rPr>
        <w:t xml:space="preserve">"Any fully paid up member shall be eligible for nomination at various levels </w:t>
      </w:r>
      <w:r>
        <w:rPr>
          <w:rFonts w:ascii="Times New Roman"/>
          <w:b/>
          <w:w w:val="105"/>
          <w:sz w:val="30"/>
        </w:rPr>
        <w:t xml:space="preserve">of </w:t>
      </w:r>
      <w:r>
        <w:rPr>
          <w:b/>
          <w:i/>
          <w:w w:val="105"/>
          <w:sz w:val="27"/>
        </w:rPr>
        <w:t xml:space="preserve">the </w:t>
      </w:r>
      <w:proofErr w:type="spellStart"/>
      <w:r>
        <w:rPr>
          <w:b/>
          <w:i/>
          <w:w w:val="105"/>
          <w:sz w:val="27"/>
        </w:rPr>
        <w:t>organisational</w:t>
      </w:r>
      <w:proofErr w:type="spellEnd"/>
      <w:r>
        <w:rPr>
          <w:b/>
          <w:i/>
          <w:w w:val="105"/>
          <w:sz w:val="27"/>
        </w:rPr>
        <w:t xml:space="preserve"> structure. She/he should have been an active member for at least five (5)</w:t>
      </w:r>
      <w:r>
        <w:rPr>
          <w:b/>
          <w:i/>
          <w:spacing w:val="-6"/>
          <w:w w:val="105"/>
          <w:sz w:val="27"/>
        </w:rPr>
        <w:t xml:space="preserve"> </w:t>
      </w:r>
      <w:r>
        <w:rPr>
          <w:b/>
          <w:i/>
          <w:w w:val="105"/>
          <w:sz w:val="27"/>
        </w:rPr>
        <w:t>years."</w:t>
      </w:r>
    </w:p>
    <w:p w14:paraId="5D85F6AB" w14:textId="77777777" w:rsidR="006C0D18" w:rsidRDefault="006D15EC">
      <w:pPr>
        <w:spacing w:before="7" w:line="494" w:lineRule="auto"/>
        <w:ind w:left="2238" w:right="116" w:hanging="56"/>
        <w:jc w:val="both"/>
        <w:rPr>
          <w:sz w:val="27"/>
        </w:rPr>
      </w:pPr>
      <w:r>
        <w:rPr>
          <w:w w:val="105"/>
          <w:sz w:val="27"/>
        </w:rPr>
        <w:t>The applicants' contention is that this article entitles the first applicant to the position of branch chairperson as nominated and elected by members of the ninth applicant and that the disqualification as per the first respondent's version is therefore n</w:t>
      </w:r>
      <w:r>
        <w:rPr>
          <w:w w:val="105"/>
          <w:sz w:val="27"/>
        </w:rPr>
        <w:t xml:space="preserve">ot only unconstitutional by going against </w:t>
      </w:r>
      <w:r>
        <w:rPr>
          <w:b/>
          <w:w w:val="105"/>
          <w:sz w:val="27"/>
        </w:rPr>
        <w:t xml:space="preserve">Article 23 </w:t>
      </w:r>
      <w:r>
        <w:rPr>
          <w:w w:val="105"/>
          <w:sz w:val="27"/>
        </w:rPr>
        <w:t>but also goes against</w:t>
      </w:r>
      <w:r>
        <w:rPr>
          <w:spacing w:val="-2"/>
          <w:w w:val="105"/>
          <w:sz w:val="27"/>
        </w:rPr>
        <w:t xml:space="preserve"> </w:t>
      </w:r>
      <w:r>
        <w:rPr>
          <w:b/>
          <w:w w:val="105"/>
          <w:sz w:val="27"/>
        </w:rPr>
        <w:t>Article</w:t>
      </w:r>
      <w:r>
        <w:rPr>
          <w:b/>
          <w:spacing w:val="-8"/>
          <w:w w:val="105"/>
          <w:sz w:val="27"/>
        </w:rPr>
        <w:t xml:space="preserve"> </w:t>
      </w:r>
      <w:r>
        <w:rPr>
          <w:b/>
          <w:w w:val="105"/>
          <w:sz w:val="27"/>
        </w:rPr>
        <w:t>7</w:t>
      </w:r>
      <w:r>
        <w:rPr>
          <w:b/>
          <w:spacing w:val="-18"/>
          <w:w w:val="105"/>
          <w:sz w:val="27"/>
        </w:rPr>
        <w:t xml:space="preserve"> </w:t>
      </w:r>
      <w:r>
        <w:rPr>
          <w:w w:val="105"/>
          <w:sz w:val="27"/>
        </w:rPr>
        <w:t>which</w:t>
      </w:r>
      <w:r>
        <w:rPr>
          <w:spacing w:val="-1"/>
          <w:w w:val="105"/>
          <w:sz w:val="27"/>
        </w:rPr>
        <w:t xml:space="preserve"> </w:t>
      </w:r>
      <w:r>
        <w:rPr>
          <w:w w:val="105"/>
          <w:sz w:val="27"/>
        </w:rPr>
        <w:t>states</w:t>
      </w:r>
      <w:r>
        <w:rPr>
          <w:spacing w:val="-13"/>
          <w:w w:val="105"/>
          <w:sz w:val="27"/>
        </w:rPr>
        <w:t xml:space="preserve"> </w:t>
      </w:r>
      <w:r>
        <w:rPr>
          <w:w w:val="105"/>
          <w:sz w:val="27"/>
        </w:rPr>
        <w:t>that</w:t>
      </w:r>
      <w:r>
        <w:rPr>
          <w:spacing w:val="-14"/>
          <w:w w:val="105"/>
          <w:sz w:val="27"/>
        </w:rPr>
        <w:t xml:space="preserve"> </w:t>
      </w:r>
      <w:r>
        <w:rPr>
          <w:w w:val="105"/>
          <w:sz w:val="27"/>
        </w:rPr>
        <w:t>the</w:t>
      </w:r>
      <w:r>
        <w:rPr>
          <w:spacing w:val="-7"/>
          <w:w w:val="105"/>
          <w:sz w:val="27"/>
        </w:rPr>
        <w:t xml:space="preserve"> </w:t>
      </w:r>
      <w:proofErr w:type="spellStart"/>
      <w:r>
        <w:rPr>
          <w:w w:val="105"/>
          <w:sz w:val="27"/>
        </w:rPr>
        <w:t>organisation</w:t>
      </w:r>
      <w:proofErr w:type="spellEnd"/>
      <w:r>
        <w:rPr>
          <w:w w:val="105"/>
          <w:sz w:val="27"/>
        </w:rPr>
        <w:t xml:space="preserve"> will</w:t>
      </w:r>
      <w:r>
        <w:rPr>
          <w:spacing w:val="-22"/>
          <w:w w:val="105"/>
          <w:sz w:val="27"/>
        </w:rPr>
        <w:t xml:space="preserve"> </w:t>
      </w:r>
      <w:r>
        <w:rPr>
          <w:w w:val="105"/>
          <w:sz w:val="27"/>
        </w:rPr>
        <w:t>be</w:t>
      </w:r>
      <w:r>
        <w:rPr>
          <w:spacing w:val="-17"/>
          <w:w w:val="105"/>
          <w:sz w:val="27"/>
        </w:rPr>
        <w:t xml:space="preserve"> </w:t>
      </w:r>
      <w:r>
        <w:rPr>
          <w:w w:val="105"/>
          <w:sz w:val="27"/>
        </w:rPr>
        <w:t>guided</w:t>
      </w:r>
      <w:r>
        <w:rPr>
          <w:spacing w:val="-4"/>
          <w:w w:val="105"/>
          <w:sz w:val="27"/>
        </w:rPr>
        <w:t xml:space="preserve"> </w:t>
      </w:r>
      <w:r>
        <w:rPr>
          <w:w w:val="105"/>
          <w:sz w:val="27"/>
        </w:rPr>
        <w:t>by the ideals of democracy, human rights and social justice.</w:t>
      </w:r>
    </w:p>
    <w:p w14:paraId="7754F87A" w14:textId="77777777" w:rsidR="006C0D18" w:rsidRDefault="006C0D18">
      <w:pPr>
        <w:pStyle w:val="BodyText"/>
        <w:rPr>
          <w:sz w:val="30"/>
        </w:rPr>
      </w:pPr>
    </w:p>
    <w:p w14:paraId="11CD51EA" w14:textId="77777777" w:rsidR="006C0D18" w:rsidRDefault="006C0D18">
      <w:pPr>
        <w:pStyle w:val="BodyText"/>
        <w:spacing w:before="9"/>
        <w:rPr>
          <w:sz w:val="24"/>
        </w:rPr>
      </w:pPr>
    </w:p>
    <w:p w14:paraId="0CCC3F93" w14:textId="77777777" w:rsidR="006C0D18" w:rsidRDefault="006D15EC">
      <w:pPr>
        <w:pStyle w:val="ListParagraph"/>
        <w:numPr>
          <w:ilvl w:val="0"/>
          <w:numId w:val="1"/>
        </w:numPr>
        <w:tabs>
          <w:tab w:val="left" w:pos="2249"/>
        </w:tabs>
        <w:spacing w:line="489" w:lineRule="auto"/>
        <w:ind w:left="2235" w:right="116" w:hanging="837"/>
        <w:jc w:val="both"/>
        <w:rPr>
          <w:sz w:val="27"/>
        </w:rPr>
      </w:pPr>
      <w:r>
        <w:rPr>
          <w:sz w:val="27"/>
        </w:rPr>
        <w:t xml:space="preserve">Our reading of the pertinent articles of the constitution </w:t>
      </w:r>
      <w:r>
        <w:rPr>
          <w:sz w:val="27"/>
        </w:rPr>
        <w:t xml:space="preserve">of the first respondent and </w:t>
      </w:r>
      <w:r>
        <w:rPr>
          <w:b/>
          <w:sz w:val="27"/>
        </w:rPr>
        <w:t xml:space="preserve">Conference Resolution 16 of 2016 </w:t>
      </w:r>
      <w:r>
        <w:rPr>
          <w:sz w:val="27"/>
        </w:rPr>
        <w:t xml:space="preserve">lead us to the conclusion that the resolution goes against </w:t>
      </w:r>
      <w:r>
        <w:rPr>
          <w:b/>
          <w:sz w:val="27"/>
        </w:rPr>
        <w:t xml:space="preserve">Article 23 of the SNAT Constitution. </w:t>
      </w:r>
      <w:r>
        <w:rPr>
          <w:sz w:val="27"/>
        </w:rPr>
        <w:t>The first respondent  argued that the resolution  sought to amend the constitution by introducing a</w:t>
      </w:r>
      <w:r>
        <w:rPr>
          <w:sz w:val="27"/>
        </w:rPr>
        <w:t xml:space="preserve"> limitation on  member's rights in terms  of </w:t>
      </w:r>
      <w:r>
        <w:rPr>
          <w:b/>
          <w:sz w:val="27"/>
        </w:rPr>
        <w:t xml:space="preserve">Article 32 of the SNAT Constitution.  </w:t>
      </w:r>
      <w:r>
        <w:rPr>
          <w:sz w:val="27"/>
        </w:rPr>
        <w:t xml:space="preserve">We find that  a holistic reading of the </w:t>
      </w:r>
      <w:r>
        <w:rPr>
          <w:b/>
          <w:sz w:val="27"/>
        </w:rPr>
        <w:t xml:space="preserve">Article 32 </w:t>
      </w:r>
      <w:r>
        <w:rPr>
          <w:sz w:val="27"/>
        </w:rPr>
        <w:t>that deals with the amendment of the constitution, does not support this view. Clearly there was</w:t>
      </w:r>
      <w:r>
        <w:rPr>
          <w:spacing w:val="13"/>
          <w:sz w:val="27"/>
        </w:rPr>
        <w:t xml:space="preserve"> </w:t>
      </w:r>
      <w:r>
        <w:rPr>
          <w:sz w:val="27"/>
        </w:rPr>
        <w:t>no</w:t>
      </w:r>
    </w:p>
    <w:p w14:paraId="12AF9B69" w14:textId="77777777" w:rsidR="006C0D18" w:rsidRDefault="006C0D18">
      <w:pPr>
        <w:spacing w:line="489" w:lineRule="auto"/>
        <w:jc w:val="both"/>
        <w:rPr>
          <w:sz w:val="27"/>
        </w:rPr>
        <w:sectPr w:rsidR="006C0D18">
          <w:pgSz w:w="11910" w:h="16850"/>
          <w:pgMar w:top="1580" w:right="380" w:bottom="1460" w:left="640" w:header="0" w:footer="1222" w:gutter="0"/>
          <w:cols w:space="720"/>
        </w:sectPr>
      </w:pPr>
    </w:p>
    <w:p w14:paraId="75E9B6AD" w14:textId="77777777" w:rsidR="006C0D18" w:rsidRDefault="006D15EC">
      <w:pPr>
        <w:pStyle w:val="BodyText"/>
        <w:spacing w:before="80" w:line="475" w:lineRule="auto"/>
        <w:ind w:left="2141" w:right="213" w:firstLine="1"/>
        <w:jc w:val="both"/>
        <w:rPr>
          <w:b/>
          <w:sz w:val="27"/>
        </w:rPr>
      </w:pPr>
      <w:r>
        <w:lastRenderedPageBreak/>
        <w:t>amen</w:t>
      </w:r>
      <w:r>
        <w:t xml:space="preserve">dment submitted to the </w:t>
      </w:r>
      <w:proofErr w:type="spellStart"/>
      <w:r>
        <w:t>organisation</w:t>
      </w:r>
      <w:proofErr w:type="spellEnd"/>
      <w:r>
        <w:t xml:space="preserve"> within the time stipulated in the constitution nor was the intention to amend the Constitution placed on the agenda. On the facts of this matter it cannot be denied that there was a resolution presented and passed in ter</w:t>
      </w:r>
      <w:r>
        <w:t>ms of</w:t>
      </w:r>
      <w:r>
        <w:rPr>
          <w:spacing w:val="22"/>
        </w:rPr>
        <w:t xml:space="preserve"> </w:t>
      </w:r>
      <w:r>
        <w:rPr>
          <w:b/>
          <w:sz w:val="27"/>
        </w:rPr>
        <w:t>Article</w:t>
      </w:r>
    </w:p>
    <w:p w14:paraId="2211F925" w14:textId="77777777" w:rsidR="006C0D18" w:rsidRDefault="006D15EC">
      <w:pPr>
        <w:spacing w:before="11" w:line="480" w:lineRule="auto"/>
        <w:ind w:left="2156" w:right="203" w:hanging="11"/>
        <w:jc w:val="both"/>
        <w:rPr>
          <w:b/>
          <w:sz w:val="27"/>
        </w:rPr>
      </w:pPr>
      <w:r>
        <w:rPr>
          <w:b/>
          <w:sz w:val="27"/>
        </w:rPr>
        <w:t xml:space="preserve">19.1.1.1. </w:t>
      </w:r>
      <w:r>
        <w:rPr>
          <w:sz w:val="28"/>
        </w:rPr>
        <w:t xml:space="preserve">However, in our view there cannot be a backdoor amendment of the constitution through this resolution. All amendments must go through the process set out in </w:t>
      </w:r>
      <w:r>
        <w:rPr>
          <w:b/>
          <w:sz w:val="27"/>
        </w:rPr>
        <w:t>Article 32 of the SNAT</w:t>
      </w:r>
      <w:r>
        <w:rPr>
          <w:b/>
          <w:spacing w:val="13"/>
          <w:sz w:val="27"/>
        </w:rPr>
        <w:t xml:space="preserve"> </w:t>
      </w:r>
      <w:r>
        <w:rPr>
          <w:b/>
          <w:sz w:val="27"/>
        </w:rPr>
        <w:t>Constitution.</w:t>
      </w:r>
    </w:p>
    <w:p w14:paraId="268FC24E" w14:textId="77777777" w:rsidR="006C0D18" w:rsidRDefault="006C0D18">
      <w:pPr>
        <w:pStyle w:val="BodyText"/>
        <w:rPr>
          <w:b/>
          <w:sz w:val="30"/>
        </w:rPr>
      </w:pPr>
    </w:p>
    <w:p w14:paraId="741DF736" w14:textId="77777777" w:rsidR="006C0D18" w:rsidRDefault="006C0D18">
      <w:pPr>
        <w:pStyle w:val="BodyText"/>
        <w:spacing w:before="2"/>
        <w:rPr>
          <w:b/>
          <w:sz w:val="25"/>
        </w:rPr>
      </w:pPr>
    </w:p>
    <w:p w14:paraId="3CA1BA65" w14:textId="77777777" w:rsidR="006C0D18" w:rsidRDefault="006D15EC">
      <w:pPr>
        <w:pStyle w:val="ListParagraph"/>
        <w:numPr>
          <w:ilvl w:val="0"/>
          <w:numId w:val="1"/>
        </w:numPr>
        <w:tabs>
          <w:tab w:val="left" w:pos="2140"/>
        </w:tabs>
        <w:spacing w:line="484" w:lineRule="auto"/>
        <w:ind w:left="2156" w:right="190" w:hanging="852"/>
        <w:jc w:val="both"/>
        <w:rPr>
          <w:i/>
          <w:sz w:val="28"/>
        </w:rPr>
      </w:pPr>
      <w:r>
        <w:rPr>
          <w:w w:val="105"/>
          <w:sz w:val="28"/>
        </w:rPr>
        <w:t xml:space="preserve">The constitution of an </w:t>
      </w:r>
      <w:proofErr w:type="spellStart"/>
      <w:r>
        <w:rPr>
          <w:w w:val="105"/>
          <w:sz w:val="28"/>
        </w:rPr>
        <w:t>organisation</w:t>
      </w:r>
      <w:proofErr w:type="spellEnd"/>
      <w:r>
        <w:rPr>
          <w:w w:val="105"/>
          <w:sz w:val="28"/>
        </w:rPr>
        <w:t xml:space="preserve"> such as the first respondent is legally binding and effect must be given to its ordinary language. We are in agreement with Victor AJ in </w:t>
      </w:r>
      <w:r>
        <w:rPr>
          <w:b/>
          <w:w w:val="105"/>
          <w:sz w:val="27"/>
        </w:rPr>
        <w:t xml:space="preserve">National Union Of Metal Workers of South Africa v </w:t>
      </w:r>
      <w:proofErr w:type="spellStart"/>
      <w:r>
        <w:rPr>
          <w:b/>
          <w:w w:val="105"/>
          <w:sz w:val="27"/>
        </w:rPr>
        <w:t>Lufil</w:t>
      </w:r>
      <w:proofErr w:type="spellEnd"/>
      <w:r>
        <w:rPr>
          <w:b/>
          <w:w w:val="105"/>
          <w:sz w:val="27"/>
        </w:rPr>
        <w:t xml:space="preserve"> Packaging (</w:t>
      </w:r>
      <w:proofErr w:type="spellStart"/>
      <w:r>
        <w:rPr>
          <w:b/>
          <w:w w:val="105"/>
          <w:sz w:val="27"/>
        </w:rPr>
        <w:t>lsithebe</w:t>
      </w:r>
      <w:proofErr w:type="spellEnd"/>
      <w:r>
        <w:rPr>
          <w:b/>
          <w:w w:val="105"/>
          <w:sz w:val="27"/>
        </w:rPr>
        <w:t>) and tw</w:t>
      </w:r>
      <w:r>
        <w:rPr>
          <w:b/>
          <w:w w:val="105"/>
          <w:sz w:val="27"/>
        </w:rPr>
        <w:t xml:space="preserve">o others Case CCT 172119 [2020] ZACC 7 </w:t>
      </w:r>
      <w:r>
        <w:rPr>
          <w:w w:val="105"/>
          <w:sz w:val="28"/>
        </w:rPr>
        <w:t xml:space="preserve">where he states that </w:t>
      </w:r>
      <w:r>
        <w:rPr>
          <w:i/>
          <w:w w:val="105"/>
          <w:sz w:val="27"/>
        </w:rPr>
        <w:t xml:space="preserve">"when members have formally adopted </w:t>
      </w:r>
      <w:r>
        <w:rPr>
          <w:w w:val="105"/>
          <w:sz w:val="26"/>
        </w:rPr>
        <w:t xml:space="preserve">a </w:t>
      </w:r>
      <w:r>
        <w:rPr>
          <w:i/>
          <w:w w:val="105"/>
          <w:sz w:val="27"/>
        </w:rPr>
        <w:t>constitution it becomes legally binding on them ... to allow unions to operate outside their constitutions, at their discretion would go against core constitu</w:t>
      </w:r>
      <w:r>
        <w:rPr>
          <w:i/>
          <w:w w:val="105"/>
          <w:sz w:val="27"/>
        </w:rPr>
        <w:t xml:space="preserve">tional values such </w:t>
      </w:r>
      <w:r>
        <w:rPr>
          <w:w w:val="105"/>
          <w:sz w:val="27"/>
        </w:rPr>
        <w:t xml:space="preserve">as </w:t>
      </w:r>
      <w:r>
        <w:rPr>
          <w:i/>
          <w:w w:val="105"/>
          <w:sz w:val="27"/>
        </w:rPr>
        <w:t>accountability, transparency and</w:t>
      </w:r>
      <w:r>
        <w:rPr>
          <w:i/>
          <w:spacing w:val="-16"/>
          <w:w w:val="105"/>
          <w:sz w:val="27"/>
        </w:rPr>
        <w:t xml:space="preserve"> </w:t>
      </w:r>
      <w:r>
        <w:rPr>
          <w:i/>
          <w:w w:val="105"/>
          <w:sz w:val="27"/>
        </w:rPr>
        <w:t>openness."</w:t>
      </w:r>
    </w:p>
    <w:p w14:paraId="23787E33" w14:textId="77777777" w:rsidR="006C0D18" w:rsidRDefault="006C0D18">
      <w:pPr>
        <w:pStyle w:val="BodyText"/>
        <w:rPr>
          <w:i/>
          <w:sz w:val="30"/>
        </w:rPr>
      </w:pPr>
    </w:p>
    <w:p w14:paraId="608E2545" w14:textId="77777777" w:rsidR="006C0D18" w:rsidRDefault="006C0D18">
      <w:pPr>
        <w:pStyle w:val="BodyText"/>
        <w:spacing w:before="3"/>
        <w:rPr>
          <w:i/>
          <w:sz w:val="24"/>
        </w:rPr>
      </w:pPr>
    </w:p>
    <w:p w14:paraId="4838B17E" w14:textId="77777777" w:rsidR="006C0D18" w:rsidRDefault="006D15EC">
      <w:pPr>
        <w:pStyle w:val="ListParagraph"/>
        <w:numPr>
          <w:ilvl w:val="0"/>
          <w:numId w:val="1"/>
        </w:numPr>
        <w:tabs>
          <w:tab w:val="left" w:pos="2128"/>
        </w:tabs>
        <w:spacing w:line="477" w:lineRule="auto"/>
        <w:ind w:left="2164" w:right="211" w:hanging="853"/>
        <w:jc w:val="both"/>
        <w:rPr>
          <w:sz w:val="28"/>
        </w:rPr>
      </w:pPr>
      <w:r>
        <w:rPr>
          <w:sz w:val="28"/>
        </w:rPr>
        <w:t>In conclusion we find that the eligibility of members to contest elections within the first respondent is defined by its own</w:t>
      </w:r>
      <w:r>
        <w:rPr>
          <w:spacing w:val="-13"/>
          <w:sz w:val="28"/>
        </w:rPr>
        <w:t xml:space="preserve"> </w:t>
      </w:r>
      <w:r>
        <w:rPr>
          <w:sz w:val="28"/>
        </w:rPr>
        <w:t>constitution</w:t>
      </w:r>
    </w:p>
    <w:p w14:paraId="41FDF80E" w14:textId="77777777" w:rsidR="006C0D18" w:rsidRDefault="006C0D18">
      <w:pPr>
        <w:spacing w:line="477" w:lineRule="auto"/>
        <w:jc w:val="both"/>
        <w:rPr>
          <w:sz w:val="28"/>
        </w:rPr>
        <w:sectPr w:rsidR="006C0D18">
          <w:pgSz w:w="11910" w:h="16850"/>
          <w:pgMar w:top="1560" w:right="380" w:bottom="1440" w:left="640" w:header="0" w:footer="1222" w:gutter="0"/>
          <w:cols w:space="720"/>
        </w:sectPr>
      </w:pPr>
    </w:p>
    <w:p w14:paraId="4721FD4A" w14:textId="77777777" w:rsidR="006C0D18" w:rsidRDefault="006D15EC">
      <w:pPr>
        <w:spacing w:before="62" w:line="491" w:lineRule="auto"/>
        <w:ind w:left="2063" w:right="292" w:hanging="4"/>
        <w:jc w:val="both"/>
        <w:rPr>
          <w:sz w:val="27"/>
        </w:rPr>
      </w:pPr>
      <w:r>
        <w:rPr>
          <w:b/>
          <w:w w:val="105"/>
          <w:sz w:val="27"/>
        </w:rPr>
        <w:lastRenderedPageBreak/>
        <w:t xml:space="preserve">(see Article 23). </w:t>
      </w:r>
      <w:r>
        <w:rPr>
          <w:w w:val="105"/>
          <w:sz w:val="27"/>
        </w:rPr>
        <w:t>When the first r</w:t>
      </w:r>
      <w:r>
        <w:rPr>
          <w:w w:val="105"/>
          <w:sz w:val="27"/>
        </w:rPr>
        <w:t xml:space="preserve">espondent sought to limit the eligibility of members to stand for elections at national and branch level within the same election process, in its interpretation of </w:t>
      </w:r>
      <w:r>
        <w:rPr>
          <w:b/>
          <w:w w:val="105"/>
          <w:sz w:val="27"/>
        </w:rPr>
        <w:t>Conference Resolution</w:t>
      </w:r>
      <w:r>
        <w:rPr>
          <w:b/>
          <w:spacing w:val="-7"/>
          <w:w w:val="105"/>
          <w:sz w:val="27"/>
        </w:rPr>
        <w:t xml:space="preserve"> </w:t>
      </w:r>
      <w:r>
        <w:rPr>
          <w:b/>
          <w:w w:val="105"/>
          <w:sz w:val="27"/>
        </w:rPr>
        <w:t>16</w:t>
      </w:r>
      <w:r>
        <w:rPr>
          <w:b/>
          <w:spacing w:val="-14"/>
          <w:w w:val="105"/>
          <w:sz w:val="27"/>
        </w:rPr>
        <w:t xml:space="preserve"> </w:t>
      </w:r>
      <w:r>
        <w:rPr>
          <w:b/>
          <w:w w:val="105"/>
          <w:sz w:val="27"/>
        </w:rPr>
        <w:t>of</w:t>
      </w:r>
      <w:r>
        <w:rPr>
          <w:b/>
          <w:spacing w:val="-10"/>
          <w:w w:val="105"/>
          <w:sz w:val="27"/>
        </w:rPr>
        <w:t xml:space="preserve"> </w:t>
      </w:r>
      <w:r>
        <w:rPr>
          <w:b/>
          <w:w w:val="105"/>
          <w:sz w:val="27"/>
        </w:rPr>
        <w:t>2016</w:t>
      </w:r>
      <w:r>
        <w:rPr>
          <w:b/>
          <w:spacing w:val="-15"/>
          <w:w w:val="105"/>
          <w:sz w:val="27"/>
        </w:rPr>
        <w:t xml:space="preserve"> </w:t>
      </w:r>
      <w:r>
        <w:rPr>
          <w:w w:val="105"/>
          <w:sz w:val="27"/>
        </w:rPr>
        <w:t>it</w:t>
      </w:r>
      <w:r>
        <w:rPr>
          <w:spacing w:val="-19"/>
          <w:w w:val="105"/>
          <w:sz w:val="27"/>
        </w:rPr>
        <w:t xml:space="preserve"> </w:t>
      </w:r>
      <w:r>
        <w:rPr>
          <w:w w:val="105"/>
          <w:sz w:val="27"/>
        </w:rPr>
        <w:t>went</w:t>
      </w:r>
      <w:r>
        <w:rPr>
          <w:spacing w:val="-11"/>
          <w:w w:val="105"/>
          <w:sz w:val="27"/>
        </w:rPr>
        <w:t xml:space="preserve"> </w:t>
      </w:r>
      <w:r>
        <w:rPr>
          <w:w w:val="105"/>
          <w:sz w:val="27"/>
        </w:rPr>
        <w:t>against</w:t>
      </w:r>
      <w:r>
        <w:rPr>
          <w:spacing w:val="-14"/>
          <w:w w:val="105"/>
          <w:sz w:val="27"/>
        </w:rPr>
        <w:t xml:space="preserve"> </w:t>
      </w:r>
      <w:r>
        <w:rPr>
          <w:w w:val="105"/>
          <w:sz w:val="27"/>
        </w:rPr>
        <w:t>the</w:t>
      </w:r>
      <w:r>
        <w:rPr>
          <w:spacing w:val="-20"/>
          <w:w w:val="105"/>
          <w:sz w:val="27"/>
        </w:rPr>
        <w:t xml:space="preserve"> </w:t>
      </w:r>
      <w:r>
        <w:rPr>
          <w:w w:val="105"/>
          <w:sz w:val="27"/>
        </w:rPr>
        <w:t>provisions</w:t>
      </w:r>
      <w:r>
        <w:rPr>
          <w:spacing w:val="-7"/>
          <w:w w:val="105"/>
          <w:sz w:val="27"/>
        </w:rPr>
        <w:t xml:space="preserve"> </w:t>
      </w:r>
      <w:r>
        <w:rPr>
          <w:w w:val="105"/>
          <w:sz w:val="27"/>
        </w:rPr>
        <w:t xml:space="preserve">of </w:t>
      </w:r>
      <w:r>
        <w:rPr>
          <w:b/>
          <w:w w:val="105"/>
          <w:sz w:val="27"/>
        </w:rPr>
        <w:t xml:space="preserve">Article 23 </w:t>
      </w:r>
      <w:r>
        <w:rPr>
          <w:w w:val="105"/>
          <w:sz w:val="27"/>
        </w:rPr>
        <w:t>of its Constitution. In our view, it cannot do so through a resolution but must abide by the articles that regulate amendments in its constitution. The constitution ought to be amended to give effect to the resolution. In the premises we find that the appl</w:t>
      </w:r>
      <w:r>
        <w:rPr>
          <w:w w:val="105"/>
          <w:sz w:val="27"/>
        </w:rPr>
        <w:t>ication must</w:t>
      </w:r>
      <w:r>
        <w:rPr>
          <w:spacing w:val="-3"/>
          <w:w w:val="105"/>
          <w:sz w:val="27"/>
        </w:rPr>
        <w:t xml:space="preserve"> </w:t>
      </w:r>
      <w:r>
        <w:rPr>
          <w:w w:val="105"/>
          <w:sz w:val="27"/>
        </w:rPr>
        <w:t>succeed.</w:t>
      </w:r>
    </w:p>
    <w:p w14:paraId="7DFECF4E" w14:textId="77777777" w:rsidR="006C0D18" w:rsidRDefault="006C0D18">
      <w:pPr>
        <w:pStyle w:val="BodyText"/>
        <w:rPr>
          <w:sz w:val="30"/>
        </w:rPr>
      </w:pPr>
    </w:p>
    <w:p w14:paraId="3363D1DB" w14:textId="77777777" w:rsidR="006C0D18" w:rsidRDefault="006C0D18">
      <w:pPr>
        <w:pStyle w:val="BodyText"/>
        <w:spacing w:before="4"/>
        <w:rPr>
          <w:sz w:val="26"/>
        </w:rPr>
      </w:pPr>
    </w:p>
    <w:p w14:paraId="17769567" w14:textId="77777777" w:rsidR="006C0D18" w:rsidRDefault="006D15EC">
      <w:pPr>
        <w:pStyle w:val="ListParagraph"/>
        <w:numPr>
          <w:ilvl w:val="0"/>
          <w:numId w:val="1"/>
        </w:numPr>
        <w:tabs>
          <w:tab w:val="left" w:pos="2075"/>
        </w:tabs>
        <w:spacing w:line="491" w:lineRule="auto"/>
        <w:ind w:left="2070" w:right="286" w:hanging="852"/>
        <w:jc w:val="both"/>
        <w:rPr>
          <w:sz w:val="27"/>
        </w:rPr>
      </w:pPr>
      <w:r>
        <w:rPr>
          <w:w w:val="105"/>
          <w:sz w:val="27"/>
        </w:rPr>
        <w:t xml:space="preserve">As an observation by the Court, we state that the resolution as it stands cannot be interpreted as limiting members rights to stand for elections to either national or branch as interpreted by the parties. It does not read that way </w:t>
      </w:r>
      <w:r>
        <w:rPr>
          <w:w w:val="105"/>
          <w:sz w:val="27"/>
        </w:rPr>
        <w:t>and the interpretation given probably arises from background knowledge the parties have of the mischief the resolution sought to correct. On a proper reading, the resolution simply resolves to have Branch elections held on the same day as branch conference</w:t>
      </w:r>
      <w:r>
        <w:rPr>
          <w:w w:val="105"/>
          <w:sz w:val="27"/>
        </w:rPr>
        <w:t xml:space="preserve">. That takes the issue of members using the branch as a place to make a </w:t>
      </w:r>
      <w:proofErr w:type="spellStart"/>
      <w:r>
        <w:rPr>
          <w:w w:val="105"/>
          <w:sz w:val="27"/>
        </w:rPr>
        <w:t>stop over</w:t>
      </w:r>
      <w:proofErr w:type="spellEnd"/>
      <w:r>
        <w:rPr>
          <w:w w:val="105"/>
          <w:sz w:val="27"/>
        </w:rPr>
        <w:t>,</w:t>
      </w:r>
      <w:r>
        <w:rPr>
          <w:spacing w:val="-37"/>
          <w:w w:val="105"/>
          <w:sz w:val="27"/>
        </w:rPr>
        <w:t xml:space="preserve"> </w:t>
      </w:r>
      <w:r>
        <w:rPr>
          <w:w w:val="105"/>
          <w:sz w:val="27"/>
        </w:rPr>
        <w:t>nowhere.</w:t>
      </w:r>
    </w:p>
    <w:p w14:paraId="3B4E57E6" w14:textId="77777777" w:rsidR="006C0D18" w:rsidRDefault="006C0D18">
      <w:pPr>
        <w:spacing w:line="491" w:lineRule="auto"/>
        <w:jc w:val="both"/>
        <w:rPr>
          <w:sz w:val="27"/>
        </w:rPr>
        <w:sectPr w:rsidR="006C0D18">
          <w:pgSz w:w="11910" w:h="16850"/>
          <w:pgMar w:top="1580" w:right="380" w:bottom="1480" w:left="640" w:header="0" w:footer="1222" w:gutter="0"/>
          <w:cols w:space="720"/>
        </w:sectPr>
      </w:pPr>
    </w:p>
    <w:p w14:paraId="478EF755" w14:textId="77777777" w:rsidR="006C0D18" w:rsidRDefault="006D15EC">
      <w:pPr>
        <w:pStyle w:val="ListParagraph"/>
        <w:numPr>
          <w:ilvl w:val="0"/>
          <w:numId w:val="1"/>
        </w:numPr>
        <w:tabs>
          <w:tab w:val="left" w:pos="1996"/>
        </w:tabs>
        <w:spacing w:before="74" w:line="489" w:lineRule="auto"/>
        <w:ind w:left="1999" w:right="364" w:hanging="854"/>
        <w:jc w:val="both"/>
        <w:rPr>
          <w:sz w:val="27"/>
        </w:rPr>
      </w:pPr>
      <w:r>
        <w:rPr>
          <w:w w:val="105"/>
          <w:sz w:val="27"/>
        </w:rPr>
        <w:lastRenderedPageBreak/>
        <w:t>On the issue of costs, the parties agreed that the first respondent would pay the costs of the application. We therefore make the following order:</w:t>
      </w:r>
      <w:r>
        <w:rPr>
          <w:spacing w:val="27"/>
          <w:w w:val="105"/>
          <w:sz w:val="27"/>
        </w:rPr>
        <w:t xml:space="preserve"> </w:t>
      </w:r>
      <w:r>
        <w:rPr>
          <w:w w:val="105"/>
          <w:sz w:val="27"/>
        </w:rPr>
        <w:t>-</w:t>
      </w:r>
    </w:p>
    <w:p w14:paraId="52B35D7B" w14:textId="77777777" w:rsidR="006C0D18" w:rsidRDefault="006C0D18">
      <w:pPr>
        <w:pStyle w:val="BodyText"/>
        <w:rPr>
          <w:sz w:val="30"/>
        </w:rPr>
      </w:pPr>
    </w:p>
    <w:p w14:paraId="46161D36" w14:textId="77777777" w:rsidR="006C0D18" w:rsidRDefault="006C0D18">
      <w:pPr>
        <w:pStyle w:val="BodyText"/>
        <w:spacing w:before="9"/>
        <w:rPr>
          <w:sz w:val="26"/>
        </w:rPr>
      </w:pPr>
    </w:p>
    <w:p w14:paraId="596B7F2D" w14:textId="77777777" w:rsidR="006C0D18" w:rsidRDefault="006D15EC">
      <w:pPr>
        <w:pStyle w:val="ListParagraph"/>
        <w:numPr>
          <w:ilvl w:val="1"/>
          <w:numId w:val="1"/>
        </w:numPr>
        <w:tabs>
          <w:tab w:val="left" w:pos="2522"/>
          <w:tab w:val="left" w:pos="2523"/>
        </w:tabs>
        <w:spacing w:line="489" w:lineRule="auto"/>
        <w:ind w:right="352" w:hanging="513"/>
        <w:jc w:val="left"/>
        <w:rPr>
          <w:b/>
          <w:sz w:val="27"/>
        </w:rPr>
      </w:pPr>
      <w:r>
        <w:rPr>
          <w:b/>
          <w:w w:val="105"/>
          <w:sz w:val="27"/>
        </w:rPr>
        <w:t>The decision of the Board of Trustees dated November 2, 2020</w:t>
      </w:r>
      <w:r>
        <w:rPr>
          <w:b/>
          <w:spacing w:val="-21"/>
          <w:w w:val="105"/>
          <w:sz w:val="27"/>
        </w:rPr>
        <w:t xml:space="preserve"> </w:t>
      </w:r>
      <w:r>
        <w:rPr>
          <w:b/>
          <w:w w:val="105"/>
          <w:sz w:val="27"/>
        </w:rPr>
        <w:t>is</w:t>
      </w:r>
      <w:r>
        <w:rPr>
          <w:b/>
          <w:spacing w:val="-20"/>
          <w:w w:val="105"/>
          <w:sz w:val="27"/>
        </w:rPr>
        <w:t xml:space="preserve"> </w:t>
      </w:r>
      <w:r>
        <w:rPr>
          <w:b/>
          <w:w w:val="105"/>
          <w:sz w:val="27"/>
        </w:rPr>
        <w:t>hereby</w:t>
      </w:r>
      <w:r>
        <w:rPr>
          <w:b/>
          <w:spacing w:val="-9"/>
          <w:w w:val="105"/>
          <w:sz w:val="27"/>
        </w:rPr>
        <w:t xml:space="preserve"> </w:t>
      </w:r>
      <w:r>
        <w:rPr>
          <w:b/>
          <w:w w:val="105"/>
          <w:sz w:val="27"/>
        </w:rPr>
        <w:t>declared</w:t>
      </w:r>
      <w:r>
        <w:rPr>
          <w:b/>
          <w:spacing w:val="-10"/>
          <w:w w:val="105"/>
          <w:sz w:val="27"/>
        </w:rPr>
        <w:t xml:space="preserve"> </w:t>
      </w:r>
      <w:r>
        <w:rPr>
          <w:b/>
          <w:w w:val="105"/>
          <w:sz w:val="27"/>
        </w:rPr>
        <w:t>unlawful</w:t>
      </w:r>
      <w:r>
        <w:rPr>
          <w:b/>
          <w:spacing w:val="-7"/>
          <w:w w:val="105"/>
          <w:sz w:val="27"/>
        </w:rPr>
        <w:t xml:space="preserve"> </w:t>
      </w:r>
      <w:r>
        <w:rPr>
          <w:b/>
          <w:w w:val="105"/>
          <w:sz w:val="27"/>
        </w:rPr>
        <w:t>and</w:t>
      </w:r>
      <w:r>
        <w:rPr>
          <w:b/>
          <w:spacing w:val="-22"/>
          <w:w w:val="105"/>
          <w:sz w:val="27"/>
        </w:rPr>
        <w:t xml:space="preserve"> </w:t>
      </w:r>
      <w:r>
        <w:rPr>
          <w:b/>
          <w:w w:val="105"/>
          <w:sz w:val="27"/>
        </w:rPr>
        <w:t>set</w:t>
      </w:r>
      <w:r>
        <w:rPr>
          <w:b/>
          <w:spacing w:val="-25"/>
          <w:w w:val="105"/>
          <w:sz w:val="27"/>
        </w:rPr>
        <w:t xml:space="preserve"> </w:t>
      </w:r>
      <w:r>
        <w:rPr>
          <w:b/>
          <w:w w:val="105"/>
          <w:sz w:val="27"/>
        </w:rPr>
        <w:t>aside</w:t>
      </w:r>
      <w:r>
        <w:rPr>
          <w:b/>
          <w:spacing w:val="-13"/>
          <w:w w:val="105"/>
          <w:sz w:val="27"/>
        </w:rPr>
        <w:t xml:space="preserve"> </w:t>
      </w:r>
      <w:r>
        <w:rPr>
          <w:b/>
          <w:w w:val="105"/>
          <w:sz w:val="27"/>
        </w:rPr>
        <w:t>accordingly.</w:t>
      </w:r>
    </w:p>
    <w:p w14:paraId="0BFAC408" w14:textId="77777777" w:rsidR="006C0D18" w:rsidRDefault="006D15EC">
      <w:pPr>
        <w:pStyle w:val="ListParagraph"/>
        <w:numPr>
          <w:ilvl w:val="1"/>
          <w:numId w:val="1"/>
        </w:numPr>
        <w:tabs>
          <w:tab w:val="left" w:pos="2479"/>
          <w:tab w:val="left" w:pos="2480"/>
        </w:tabs>
        <w:spacing w:before="10"/>
        <w:ind w:left="2479" w:hanging="463"/>
        <w:jc w:val="left"/>
        <w:rPr>
          <w:b/>
          <w:sz w:val="27"/>
        </w:rPr>
      </w:pPr>
      <w:r>
        <w:rPr>
          <w:b/>
          <w:w w:val="105"/>
          <w:sz w:val="27"/>
        </w:rPr>
        <w:t>The</w:t>
      </w:r>
      <w:r>
        <w:rPr>
          <w:b/>
          <w:spacing w:val="-8"/>
          <w:w w:val="105"/>
          <w:sz w:val="27"/>
        </w:rPr>
        <w:t xml:space="preserve"> </w:t>
      </w:r>
      <w:r>
        <w:rPr>
          <w:b/>
          <w:w w:val="105"/>
          <w:sz w:val="27"/>
        </w:rPr>
        <w:t>first</w:t>
      </w:r>
      <w:r>
        <w:rPr>
          <w:b/>
          <w:spacing w:val="-7"/>
          <w:w w:val="105"/>
          <w:sz w:val="27"/>
        </w:rPr>
        <w:t xml:space="preserve"> </w:t>
      </w:r>
      <w:r>
        <w:rPr>
          <w:b/>
          <w:w w:val="105"/>
          <w:sz w:val="27"/>
        </w:rPr>
        <w:t>respondent</w:t>
      </w:r>
      <w:r>
        <w:rPr>
          <w:b/>
          <w:spacing w:val="5"/>
          <w:w w:val="105"/>
          <w:sz w:val="27"/>
        </w:rPr>
        <w:t xml:space="preserve"> </w:t>
      </w:r>
      <w:r>
        <w:rPr>
          <w:b/>
          <w:w w:val="105"/>
          <w:sz w:val="27"/>
        </w:rPr>
        <w:t>is</w:t>
      </w:r>
      <w:r>
        <w:rPr>
          <w:b/>
          <w:spacing w:val="-9"/>
          <w:w w:val="105"/>
          <w:sz w:val="27"/>
        </w:rPr>
        <w:t xml:space="preserve"> </w:t>
      </w:r>
      <w:r>
        <w:rPr>
          <w:b/>
          <w:w w:val="105"/>
          <w:sz w:val="27"/>
        </w:rPr>
        <w:t>to</w:t>
      </w:r>
      <w:r>
        <w:rPr>
          <w:b/>
          <w:spacing w:val="-12"/>
          <w:w w:val="105"/>
          <w:sz w:val="27"/>
        </w:rPr>
        <w:t xml:space="preserve"> </w:t>
      </w:r>
      <w:r>
        <w:rPr>
          <w:b/>
          <w:w w:val="105"/>
          <w:sz w:val="27"/>
        </w:rPr>
        <w:t>pay</w:t>
      </w:r>
      <w:r>
        <w:rPr>
          <w:b/>
          <w:spacing w:val="-14"/>
          <w:w w:val="105"/>
          <w:sz w:val="27"/>
        </w:rPr>
        <w:t xml:space="preserve"> </w:t>
      </w:r>
      <w:r>
        <w:rPr>
          <w:b/>
          <w:w w:val="105"/>
          <w:sz w:val="27"/>
        </w:rPr>
        <w:t>the</w:t>
      </w:r>
      <w:r>
        <w:rPr>
          <w:b/>
          <w:spacing w:val="-11"/>
          <w:w w:val="105"/>
          <w:sz w:val="27"/>
        </w:rPr>
        <w:t xml:space="preserve"> </w:t>
      </w:r>
      <w:r>
        <w:rPr>
          <w:b/>
          <w:w w:val="105"/>
          <w:sz w:val="27"/>
        </w:rPr>
        <w:t>costs</w:t>
      </w:r>
      <w:r>
        <w:rPr>
          <w:b/>
          <w:spacing w:val="-2"/>
          <w:w w:val="105"/>
          <w:sz w:val="27"/>
        </w:rPr>
        <w:t xml:space="preserve"> </w:t>
      </w:r>
      <w:r>
        <w:rPr>
          <w:b/>
          <w:w w:val="105"/>
          <w:sz w:val="27"/>
        </w:rPr>
        <w:t>of</w:t>
      </w:r>
      <w:r>
        <w:rPr>
          <w:b/>
          <w:spacing w:val="-11"/>
          <w:w w:val="105"/>
          <w:sz w:val="27"/>
        </w:rPr>
        <w:t xml:space="preserve"> </w:t>
      </w:r>
      <w:r>
        <w:rPr>
          <w:b/>
          <w:w w:val="105"/>
          <w:sz w:val="27"/>
        </w:rPr>
        <w:t>the</w:t>
      </w:r>
      <w:r>
        <w:rPr>
          <w:b/>
          <w:spacing w:val="-8"/>
          <w:w w:val="105"/>
          <w:sz w:val="27"/>
        </w:rPr>
        <w:t xml:space="preserve"> </w:t>
      </w:r>
      <w:r>
        <w:rPr>
          <w:b/>
          <w:w w:val="105"/>
          <w:sz w:val="27"/>
        </w:rPr>
        <w:t>application.</w:t>
      </w:r>
    </w:p>
    <w:p w14:paraId="2E3F22DA" w14:textId="77777777" w:rsidR="006C0D18" w:rsidRDefault="006C0D18">
      <w:pPr>
        <w:pStyle w:val="BodyText"/>
        <w:rPr>
          <w:b/>
          <w:sz w:val="30"/>
        </w:rPr>
      </w:pPr>
    </w:p>
    <w:p w14:paraId="4728C4A9" w14:textId="77777777" w:rsidR="006C0D18" w:rsidRDefault="006C0D18">
      <w:pPr>
        <w:pStyle w:val="BodyText"/>
        <w:rPr>
          <w:b/>
          <w:sz w:val="30"/>
        </w:rPr>
      </w:pPr>
    </w:p>
    <w:p w14:paraId="020D5B78" w14:textId="77777777" w:rsidR="006C0D18" w:rsidRDefault="006D15EC">
      <w:pPr>
        <w:spacing w:before="269"/>
        <w:ind w:left="1150"/>
        <w:rPr>
          <w:sz w:val="27"/>
        </w:rPr>
      </w:pPr>
      <w:r>
        <w:rPr>
          <w:w w:val="105"/>
          <w:sz w:val="27"/>
        </w:rPr>
        <w:t>The Members Agree.</w:t>
      </w:r>
    </w:p>
    <w:p w14:paraId="557AB66D" w14:textId="77777777" w:rsidR="006C0D18" w:rsidRDefault="006C0D18">
      <w:pPr>
        <w:pStyle w:val="BodyText"/>
        <w:rPr>
          <w:sz w:val="20"/>
        </w:rPr>
      </w:pPr>
    </w:p>
    <w:p w14:paraId="5FB55767" w14:textId="77777777" w:rsidR="006C0D18" w:rsidRDefault="006C0D18">
      <w:pPr>
        <w:pStyle w:val="BodyText"/>
        <w:rPr>
          <w:sz w:val="20"/>
        </w:rPr>
      </w:pPr>
    </w:p>
    <w:p w14:paraId="4AE6F929" w14:textId="1A88031E" w:rsidR="006C0D18" w:rsidRDefault="006C0D18">
      <w:pPr>
        <w:pStyle w:val="BodyText"/>
        <w:rPr>
          <w:sz w:val="13"/>
        </w:rPr>
      </w:pPr>
    </w:p>
    <w:p w14:paraId="19F18592" w14:textId="77777777" w:rsidR="006C0D18" w:rsidRDefault="006C0D18">
      <w:pPr>
        <w:pStyle w:val="BodyText"/>
        <w:spacing w:before="7"/>
        <w:rPr>
          <w:sz w:val="9"/>
        </w:rPr>
      </w:pPr>
    </w:p>
    <w:p w14:paraId="619DE630" w14:textId="77777777" w:rsidR="006C0D18" w:rsidRDefault="006D15EC">
      <w:pPr>
        <w:spacing w:before="92"/>
        <w:ind w:left="1162"/>
        <w:rPr>
          <w:b/>
          <w:sz w:val="27"/>
        </w:rPr>
      </w:pPr>
      <w:r>
        <w:rPr>
          <w:b/>
          <w:w w:val="105"/>
          <w:sz w:val="27"/>
          <w:u w:val="thick"/>
        </w:rPr>
        <w:t>S. NSIBANDE</w:t>
      </w:r>
    </w:p>
    <w:p w14:paraId="0194A977" w14:textId="77777777" w:rsidR="006C0D18" w:rsidRDefault="006D15EC">
      <w:pPr>
        <w:spacing w:before="21"/>
        <w:ind w:left="1159"/>
        <w:rPr>
          <w:b/>
          <w:sz w:val="27"/>
        </w:rPr>
      </w:pPr>
      <w:r>
        <w:rPr>
          <w:b/>
          <w:w w:val="105"/>
          <w:sz w:val="27"/>
        </w:rPr>
        <w:t>PRESIDENT OF THE INDUSTRIAL COURT OF</w:t>
      </w:r>
      <w:r>
        <w:rPr>
          <w:b/>
          <w:spacing w:val="-57"/>
          <w:w w:val="105"/>
          <w:sz w:val="27"/>
        </w:rPr>
        <w:t xml:space="preserve"> </w:t>
      </w:r>
      <w:r>
        <w:rPr>
          <w:b/>
          <w:w w:val="105"/>
          <w:sz w:val="27"/>
        </w:rPr>
        <w:t>ESWATINI</w:t>
      </w:r>
    </w:p>
    <w:p w14:paraId="3F35EE88" w14:textId="77777777" w:rsidR="006C0D18" w:rsidRDefault="006C0D18">
      <w:pPr>
        <w:pStyle w:val="BodyText"/>
        <w:rPr>
          <w:b/>
          <w:sz w:val="30"/>
        </w:rPr>
      </w:pPr>
    </w:p>
    <w:p w14:paraId="130CA902" w14:textId="77777777" w:rsidR="006C0D18" w:rsidRDefault="006C0D18">
      <w:pPr>
        <w:pStyle w:val="BodyText"/>
        <w:spacing w:before="9"/>
        <w:rPr>
          <w:b/>
          <w:sz w:val="25"/>
        </w:rPr>
      </w:pPr>
    </w:p>
    <w:p w14:paraId="67BC693F" w14:textId="77777777" w:rsidR="006C0D18" w:rsidRDefault="006D15EC">
      <w:pPr>
        <w:tabs>
          <w:tab w:val="left" w:pos="4406"/>
        </w:tabs>
        <w:ind w:left="1159"/>
        <w:rPr>
          <w:sz w:val="27"/>
        </w:rPr>
      </w:pPr>
      <w:r>
        <w:rPr>
          <w:b/>
          <w:w w:val="105"/>
          <w:sz w:val="27"/>
        </w:rPr>
        <w:t>For</w:t>
      </w:r>
      <w:r>
        <w:rPr>
          <w:b/>
          <w:spacing w:val="-19"/>
          <w:w w:val="105"/>
          <w:sz w:val="27"/>
        </w:rPr>
        <w:t xml:space="preserve"> </w:t>
      </w:r>
      <w:r>
        <w:rPr>
          <w:b/>
          <w:w w:val="105"/>
          <w:sz w:val="27"/>
        </w:rPr>
        <w:t>the</w:t>
      </w:r>
      <w:r>
        <w:rPr>
          <w:b/>
          <w:spacing w:val="-15"/>
          <w:w w:val="105"/>
          <w:sz w:val="27"/>
        </w:rPr>
        <w:t xml:space="preserve"> </w:t>
      </w:r>
      <w:r>
        <w:rPr>
          <w:b/>
          <w:w w:val="105"/>
          <w:sz w:val="27"/>
        </w:rPr>
        <w:t>Applicants:</w:t>
      </w:r>
      <w:r>
        <w:rPr>
          <w:b/>
          <w:w w:val="105"/>
          <w:sz w:val="27"/>
        </w:rPr>
        <w:tab/>
      </w:r>
      <w:r>
        <w:rPr>
          <w:w w:val="105"/>
          <w:sz w:val="27"/>
        </w:rPr>
        <w:t>Mr. T. R. Maseko (T.R. Maseko</w:t>
      </w:r>
      <w:r>
        <w:rPr>
          <w:spacing w:val="-1"/>
          <w:w w:val="105"/>
          <w:sz w:val="27"/>
        </w:rPr>
        <w:t xml:space="preserve"> </w:t>
      </w:r>
      <w:r>
        <w:rPr>
          <w:w w:val="105"/>
          <w:sz w:val="27"/>
        </w:rPr>
        <w:t>Attorneys)</w:t>
      </w:r>
    </w:p>
    <w:p w14:paraId="421E8694" w14:textId="77777777" w:rsidR="006C0D18" w:rsidRDefault="006C0D18">
      <w:pPr>
        <w:pStyle w:val="BodyText"/>
        <w:spacing w:before="10"/>
      </w:pPr>
    </w:p>
    <w:p w14:paraId="281DBCCD" w14:textId="77777777" w:rsidR="006C0D18" w:rsidRDefault="006D15EC">
      <w:pPr>
        <w:tabs>
          <w:tab w:val="left" w:pos="4435"/>
        </w:tabs>
        <w:ind w:left="1159"/>
        <w:rPr>
          <w:sz w:val="27"/>
        </w:rPr>
      </w:pPr>
      <w:r>
        <w:rPr>
          <w:b/>
          <w:w w:val="105"/>
          <w:sz w:val="27"/>
        </w:rPr>
        <w:t>For</w:t>
      </w:r>
      <w:r>
        <w:rPr>
          <w:b/>
          <w:spacing w:val="-22"/>
          <w:w w:val="105"/>
          <w:sz w:val="27"/>
        </w:rPr>
        <w:t xml:space="preserve"> </w:t>
      </w:r>
      <w:r>
        <w:rPr>
          <w:b/>
          <w:w w:val="105"/>
          <w:sz w:val="27"/>
        </w:rPr>
        <w:t>the</w:t>
      </w:r>
      <w:r>
        <w:rPr>
          <w:b/>
          <w:spacing w:val="-22"/>
          <w:w w:val="105"/>
          <w:sz w:val="27"/>
        </w:rPr>
        <w:t xml:space="preserve"> </w:t>
      </w:r>
      <w:r>
        <w:rPr>
          <w:b/>
          <w:w w:val="105"/>
          <w:sz w:val="27"/>
        </w:rPr>
        <w:t>Respondents:</w:t>
      </w:r>
      <w:r>
        <w:rPr>
          <w:b/>
          <w:w w:val="105"/>
          <w:sz w:val="27"/>
        </w:rPr>
        <w:tab/>
      </w:r>
      <w:r>
        <w:rPr>
          <w:w w:val="105"/>
          <w:sz w:val="27"/>
        </w:rPr>
        <w:t xml:space="preserve">Mr. L. Howe (Howe Masuku </w:t>
      </w:r>
      <w:proofErr w:type="spellStart"/>
      <w:r>
        <w:rPr>
          <w:w w:val="105"/>
          <w:sz w:val="27"/>
        </w:rPr>
        <w:t>Nsibande</w:t>
      </w:r>
      <w:proofErr w:type="spellEnd"/>
      <w:r>
        <w:rPr>
          <w:spacing w:val="-39"/>
          <w:w w:val="105"/>
          <w:sz w:val="27"/>
        </w:rPr>
        <w:t xml:space="preserve"> </w:t>
      </w:r>
      <w:r>
        <w:rPr>
          <w:w w:val="105"/>
          <w:sz w:val="27"/>
        </w:rPr>
        <w:t>Attorneys)</w:t>
      </w:r>
    </w:p>
    <w:sectPr w:rsidR="006C0D18">
      <w:pgSz w:w="11910" w:h="16850"/>
      <w:pgMar w:top="1540" w:right="380" w:bottom="1480" w:left="640" w:header="0"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CC81" w14:textId="77777777" w:rsidR="006D15EC" w:rsidRDefault="006D15EC">
      <w:r>
        <w:separator/>
      </w:r>
    </w:p>
  </w:endnote>
  <w:endnote w:type="continuationSeparator" w:id="0">
    <w:p w14:paraId="6505478E" w14:textId="77777777" w:rsidR="006D15EC" w:rsidRDefault="006D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82B9" w14:textId="77777777" w:rsidR="006C0D18" w:rsidRDefault="006D15EC">
    <w:pPr>
      <w:pStyle w:val="BodyText"/>
      <w:spacing w:line="14" w:lineRule="auto"/>
      <w:rPr>
        <w:sz w:val="9"/>
      </w:rPr>
    </w:pPr>
    <w:r>
      <w:pict w14:anchorId="73E2F67C">
        <v:shapetype id="_x0000_t202" coordsize="21600,21600" o:spt="202" path="m,l,21600r21600,l21600,xe">
          <v:stroke joinstyle="miter"/>
          <v:path gradientshapeok="t" o:connecttype="rect"/>
        </v:shapetype>
        <v:shape id="_x0000_s1025" type="#_x0000_t202" style="position:absolute;margin-left:534.35pt;margin-top:761.4pt;width:34.35pt;height:21.8pt;z-index:-251658752;mso-position-horizontal-relative:page;mso-position-vertical-relative:page" filled="f" stroked="f">
          <v:textbox inset="0,0,0,0">
            <w:txbxContent>
              <w:p w14:paraId="6516F6B2" w14:textId="77777777" w:rsidR="006C0D18" w:rsidRDefault="006D15EC">
                <w:pPr>
                  <w:spacing w:before="185"/>
                  <w:ind w:left="412"/>
                  <w:rPr>
                    <w:sz w:val="20"/>
                  </w:rPr>
                </w:pPr>
                <w:r>
                  <w:fldChar w:fldCharType="begin"/>
                </w:r>
                <w:r>
                  <w:rPr>
                    <w:w w:val="101"/>
                    <w:sz w:val="20"/>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D641" w14:textId="77777777" w:rsidR="006D15EC" w:rsidRDefault="006D15EC">
      <w:r>
        <w:separator/>
      </w:r>
    </w:p>
  </w:footnote>
  <w:footnote w:type="continuationSeparator" w:id="0">
    <w:p w14:paraId="39E465A0" w14:textId="77777777" w:rsidR="006D15EC" w:rsidRDefault="006D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539"/>
    <w:multiLevelType w:val="hybridMultilevel"/>
    <w:tmpl w:val="9D86914C"/>
    <w:lvl w:ilvl="0" w:tplc="86BA236E">
      <w:start w:val="11"/>
      <w:numFmt w:val="decimal"/>
      <w:lvlText w:val="[%1]"/>
      <w:lvlJc w:val="left"/>
      <w:pPr>
        <w:ind w:left="2229" w:hanging="721"/>
        <w:jc w:val="right"/>
      </w:pPr>
      <w:rPr>
        <w:rFonts w:hint="default"/>
        <w:spacing w:val="-1"/>
        <w:w w:val="106"/>
      </w:rPr>
    </w:lvl>
    <w:lvl w:ilvl="1" w:tplc="B7EE9A02">
      <w:start w:val="1"/>
      <w:numFmt w:val="decimal"/>
      <w:lvlText w:val="%2."/>
      <w:lvlJc w:val="left"/>
      <w:pPr>
        <w:ind w:left="2442" w:hanging="593"/>
        <w:jc w:val="right"/>
      </w:pPr>
      <w:rPr>
        <w:rFonts w:ascii="Arial" w:eastAsia="Arial" w:hAnsi="Arial" w:cs="Arial" w:hint="default"/>
        <w:b/>
        <w:bCs/>
        <w:spacing w:val="-1"/>
        <w:w w:val="103"/>
        <w:sz w:val="27"/>
        <w:szCs w:val="27"/>
      </w:rPr>
    </w:lvl>
    <w:lvl w:ilvl="2" w:tplc="E104035A">
      <w:numFmt w:val="bullet"/>
      <w:lvlText w:val="•"/>
      <w:lvlJc w:val="left"/>
      <w:pPr>
        <w:ind w:left="3378" w:hanging="593"/>
      </w:pPr>
      <w:rPr>
        <w:rFonts w:hint="default"/>
      </w:rPr>
    </w:lvl>
    <w:lvl w:ilvl="3" w:tplc="DB9CAA4E">
      <w:numFmt w:val="bullet"/>
      <w:lvlText w:val="•"/>
      <w:lvlJc w:val="left"/>
      <w:pPr>
        <w:ind w:left="4317" w:hanging="593"/>
      </w:pPr>
      <w:rPr>
        <w:rFonts w:hint="default"/>
      </w:rPr>
    </w:lvl>
    <w:lvl w:ilvl="4" w:tplc="EA92907C">
      <w:numFmt w:val="bullet"/>
      <w:lvlText w:val="•"/>
      <w:lvlJc w:val="left"/>
      <w:pPr>
        <w:ind w:left="5256" w:hanging="593"/>
      </w:pPr>
      <w:rPr>
        <w:rFonts w:hint="default"/>
      </w:rPr>
    </w:lvl>
    <w:lvl w:ilvl="5" w:tplc="71AAF568">
      <w:numFmt w:val="bullet"/>
      <w:lvlText w:val="•"/>
      <w:lvlJc w:val="left"/>
      <w:pPr>
        <w:ind w:left="6195" w:hanging="593"/>
      </w:pPr>
      <w:rPr>
        <w:rFonts w:hint="default"/>
      </w:rPr>
    </w:lvl>
    <w:lvl w:ilvl="6" w:tplc="2688AFB0">
      <w:numFmt w:val="bullet"/>
      <w:lvlText w:val="•"/>
      <w:lvlJc w:val="left"/>
      <w:pPr>
        <w:ind w:left="7133" w:hanging="593"/>
      </w:pPr>
      <w:rPr>
        <w:rFonts w:hint="default"/>
      </w:rPr>
    </w:lvl>
    <w:lvl w:ilvl="7" w:tplc="944C8D9E">
      <w:numFmt w:val="bullet"/>
      <w:lvlText w:val="•"/>
      <w:lvlJc w:val="left"/>
      <w:pPr>
        <w:ind w:left="8072" w:hanging="593"/>
      </w:pPr>
      <w:rPr>
        <w:rFonts w:hint="default"/>
      </w:rPr>
    </w:lvl>
    <w:lvl w:ilvl="8" w:tplc="53C40E1C">
      <w:numFmt w:val="bullet"/>
      <w:lvlText w:val="•"/>
      <w:lvlJc w:val="left"/>
      <w:pPr>
        <w:ind w:left="9011" w:hanging="593"/>
      </w:pPr>
      <w:rPr>
        <w:rFonts w:hint="default"/>
      </w:rPr>
    </w:lvl>
  </w:abstractNum>
  <w:abstractNum w:abstractNumId="1" w15:restartNumberingAfterBreak="0">
    <w:nsid w:val="1A7646DA"/>
    <w:multiLevelType w:val="multilevel"/>
    <w:tmpl w:val="82AC6C80"/>
    <w:lvl w:ilvl="0">
      <w:start w:val="1"/>
      <w:numFmt w:val="decimal"/>
      <w:lvlText w:val="[%1]"/>
      <w:lvlJc w:val="left"/>
      <w:pPr>
        <w:ind w:left="1424" w:hanging="540"/>
        <w:jc w:val="right"/>
      </w:pPr>
      <w:rPr>
        <w:rFonts w:hint="default"/>
        <w:spacing w:val="-1"/>
        <w:w w:val="107"/>
      </w:rPr>
    </w:lvl>
    <w:lvl w:ilvl="1">
      <w:start w:val="1"/>
      <w:numFmt w:val="decimal"/>
      <w:lvlText w:val="%1.%2"/>
      <w:lvlJc w:val="left"/>
      <w:pPr>
        <w:ind w:left="2018" w:hanging="780"/>
        <w:jc w:val="right"/>
      </w:pPr>
      <w:rPr>
        <w:rFonts w:ascii="Arial" w:eastAsia="Arial" w:hAnsi="Arial" w:cs="Arial" w:hint="default"/>
        <w:i/>
        <w:spacing w:val="-1"/>
        <w:w w:val="100"/>
        <w:sz w:val="28"/>
        <w:szCs w:val="28"/>
      </w:rPr>
    </w:lvl>
    <w:lvl w:ilvl="2">
      <w:numFmt w:val="bullet"/>
      <w:lvlText w:val="•"/>
      <w:lvlJc w:val="left"/>
      <w:pPr>
        <w:ind w:left="3005" w:hanging="780"/>
      </w:pPr>
      <w:rPr>
        <w:rFonts w:hint="default"/>
      </w:rPr>
    </w:lvl>
    <w:lvl w:ilvl="3">
      <w:numFmt w:val="bullet"/>
      <w:lvlText w:val="•"/>
      <w:lvlJc w:val="left"/>
      <w:pPr>
        <w:ind w:left="3990" w:hanging="780"/>
      </w:pPr>
      <w:rPr>
        <w:rFonts w:hint="default"/>
      </w:rPr>
    </w:lvl>
    <w:lvl w:ilvl="4">
      <w:numFmt w:val="bullet"/>
      <w:lvlText w:val="•"/>
      <w:lvlJc w:val="left"/>
      <w:pPr>
        <w:ind w:left="4976" w:hanging="780"/>
      </w:pPr>
      <w:rPr>
        <w:rFonts w:hint="default"/>
      </w:rPr>
    </w:lvl>
    <w:lvl w:ilvl="5">
      <w:numFmt w:val="bullet"/>
      <w:lvlText w:val="•"/>
      <w:lvlJc w:val="left"/>
      <w:pPr>
        <w:ind w:left="5961" w:hanging="780"/>
      </w:pPr>
      <w:rPr>
        <w:rFonts w:hint="default"/>
      </w:rPr>
    </w:lvl>
    <w:lvl w:ilvl="6">
      <w:numFmt w:val="bullet"/>
      <w:lvlText w:val="•"/>
      <w:lvlJc w:val="left"/>
      <w:pPr>
        <w:ind w:left="6947" w:hanging="780"/>
      </w:pPr>
      <w:rPr>
        <w:rFonts w:hint="default"/>
      </w:rPr>
    </w:lvl>
    <w:lvl w:ilvl="7">
      <w:numFmt w:val="bullet"/>
      <w:lvlText w:val="•"/>
      <w:lvlJc w:val="left"/>
      <w:pPr>
        <w:ind w:left="7932" w:hanging="780"/>
      </w:pPr>
      <w:rPr>
        <w:rFonts w:hint="default"/>
      </w:rPr>
    </w:lvl>
    <w:lvl w:ilvl="8">
      <w:numFmt w:val="bullet"/>
      <w:lvlText w:val="•"/>
      <w:lvlJc w:val="left"/>
      <w:pPr>
        <w:ind w:left="8917" w:hanging="780"/>
      </w:pPr>
      <w:rPr>
        <w:rFonts w:hint="default"/>
      </w:rPr>
    </w:lvl>
  </w:abstractNum>
  <w:num w:numId="1" w16cid:durableId="1460807645">
    <w:abstractNumId w:val="0"/>
  </w:num>
  <w:num w:numId="2" w16cid:durableId="170139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0D18"/>
    <w:rsid w:val="00015739"/>
    <w:rsid w:val="006C0D18"/>
    <w:rsid w:val="006D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022A920"/>
  <w15:docId w15:val="{B122CD81-0251-4880-85A6-4D910D4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701" w:hanging="8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2022-05-06T11:00:00Z</dcterms:created>
  <dcterms:modified xsi:type="dcterms:W3CDTF">2022-05-12T18:35:00Z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