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632"/>
        <w:rPr>
          <w:rFonts w:ascii="Times New Roman"/>
          <w:sz w:val="20"/>
        </w:rPr>
      </w:pPr>
      <w:r>
        <w:rPr>
          <w:rFonts w:ascii="Times New Roman"/>
          <w:sz w:val="20"/>
        </w:rPr>
        <w:drawing>
          <wp:inline distT="0" distB="0" distL="0" distR="0">
            <wp:extent cx="1628778" cy="1078992"/>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628778" cy="1078992"/>
                    </a:xfrm>
                    <a:prstGeom prst="rect">
                      <a:avLst/>
                    </a:prstGeom>
                  </pic:spPr>
                </pic:pic>
              </a:graphicData>
            </a:graphic>
          </wp:inline>
        </w:drawing>
      </w:r>
      <w:r>
        <w:rPr>
          <w:rFonts w:ascii="Times New Roman"/>
          <w:sz w:val="20"/>
        </w:rPr>
      </w:r>
    </w:p>
    <w:p>
      <w:pPr>
        <w:spacing w:before="44"/>
        <w:ind w:left="1946" w:right="0" w:firstLine="0"/>
        <w:jc w:val="left"/>
        <w:rPr>
          <w:b/>
          <w:sz w:val="27"/>
        </w:rPr>
      </w:pPr>
      <w:r>
        <w:rPr>
          <w:b/>
          <w:w w:val="105"/>
          <w:sz w:val="27"/>
          <w:u w:val="thick"/>
        </w:rPr>
        <w:t>IN THE INDUSTRIAL COURT OF ESWATINI</w:t>
      </w:r>
    </w:p>
    <w:p>
      <w:pPr>
        <w:pStyle w:val="BodyText"/>
        <w:rPr>
          <w:b/>
          <w:sz w:val="30"/>
        </w:rPr>
      </w:pPr>
    </w:p>
    <w:p>
      <w:pPr>
        <w:pStyle w:val="BodyText"/>
        <w:spacing w:before="9"/>
        <w:rPr>
          <w:b/>
          <w:sz w:val="25"/>
        </w:rPr>
      </w:pPr>
    </w:p>
    <w:p>
      <w:pPr>
        <w:spacing w:before="0"/>
        <w:ind w:left="0" w:right="699" w:firstLine="0"/>
        <w:jc w:val="right"/>
        <w:rPr>
          <w:sz w:val="27"/>
        </w:rPr>
      </w:pPr>
      <w:r>
        <w:rPr>
          <w:w w:val="105"/>
          <w:sz w:val="27"/>
        </w:rPr>
        <w:t>Case No.</w:t>
      </w:r>
      <w:r>
        <w:rPr>
          <w:spacing w:val="-52"/>
          <w:w w:val="105"/>
          <w:sz w:val="27"/>
        </w:rPr>
        <w:t> </w:t>
      </w:r>
      <w:r>
        <w:rPr>
          <w:w w:val="105"/>
          <w:sz w:val="27"/>
        </w:rPr>
        <w:t>195/2018</w:t>
      </w:r>
    </w:p>
    <w:p>
      <w:pPr>
        <w:pStyle w:val="BodyText"/>
        <w:rPr>
          <w:sz w:val="30"/>
        </w:rPr>
      </w:pPr>
    </w:p>
    <w:p>
      <w:pPr>
        <w:pStyle w:val="BodyText"/>
        <w:spacing w:before="7"/>
        <w:rPr>
          <w:sz w:val="27"/>
        </w:rPr>
      </w:pPr>
    </w:p>
    <w:p>
      <w:pPr>
        <w:spacing w:before="0"/>
        <w:ind w:left="113" w:right="0" w:firstLine="0"/>
        <w:jc w:val="left"/>
        <w:rPr>
          <w:sz w:val="27"/>
        </w:rPr>
      </w:pPr>
      <w:r>
        <w:rPr>
          <w:w w:val="105"/>
          <w:sz w:val="27"/>
        </w:rPr>
        <w:t>In the matter between:</w:t>
      </w:r>
    </w:p>
    <w:p>
      <w:pPr>
        <w:pStyle w:val="BodyText"/>
        <w:spacing w:before="6"/>
        <w:rPr>
          <w:sz w:val="21"/>
        </w:rPr>
      </w:pPr>
    </w:p>
    <w:p>
      <w:pPr>
        <w:spacing w:after="0"/>
        <w:rPr>
          <w:sz w:val="21"/>
        </w:rPr>
        <w:sectPr>
          <w:type w:val="continuous"/>
          <w:pgSz w:w="11910" w:h="16850"/>
          <w:pgMar w:top="1500" w:bottom="280" w:left="1420" w:right="580"/>
        </w:sectPr>
      </w:pPr>
    </w:p>
    <w:p>
      <w:pPr>
        <w:spacing w:before="92"/>
        <w:ind w:left="122" w:right="0" w:firstLine="0"/>
        <w:jc w:val="left"/>
        <w:rPr>
          <w:b/>
          <w:sz w:val="27"/>
        </w:rPr>
      </w:pPr>
      <w:r>
        <w:rPr>
          <w:b/>
          <w:sz w:val="27"/>
        </w:rPr>
        <w:t>SIBONGINKHOSI</w:t>
      </w:r>
      <w:r>
        <w:rPr>
          <w:b/>
          <w:spacing w:val="50"/>
          <w:sz w:val="27"/>
        </w:rPr>
        <w:t> </w:t>
      </w:r>
      <w:r>
        <w:rPr>
          <w:b/>
          <w:sz w:val="27"/>
        </w:rPr>
        <w:t>XABA</w:t>
      </w:r>
    </w:p>
    <w:p>
      <w:pPr>
        <w:pStyle w:val="BodyText"/>
        <w:spacing w:before="6"/>
        <w:rPr>
          <w:b/>
          <w:sz w:val="37"/>
        </w:rPr>
      </w:pPr>
    </w:p>
    <w:p>
      <w:pPr>
        <w:spacing w:before="1"/>
        <w:ind w:left="117" w:right="0" w:firstLine="0"/>
        <w:jc w:val="left"/>
        <w:rPr>
          <w:sz w:val="27"/>
        </w:rPr>
      </w:pPr>
      <w:r>
        <w:rPr>
          <w:w w:val="105"/>
          <w:sz w:val="27"/>
        </w:rPr>
        <w:t>And</w:t>
      </w:r>
    </w:p>
    <w:p>
      <w:pPr>
        <w:pStyle w:val="BodyText"/>
        <w:spacing w:before="11"/>
        <w:rPr>
          <w:sz w:val="36"/>
        </w:rPr>
      </w:pPr>
    </w:p>
    <w:p>
      <w:pPr>
        <w:spacing w:before="0"/>
        <w:ind w:left="119" w:right="0" w:firstLine="0"/>
        <w:jc w:val="left"/>
        <w:rPr>
          <w:b/>
          <w:sz w:val="27"/>
        </w:rPr>
      </w:pPr>
      <w:r>
        <w:rPr>
          <w:b/>
          <w:sz w:val="27"/>
        </w:rPr>
        <w:t>CIVIL SERVICE COMMISSION</w:t>
      </w:r>
    </w:p>
    <w:p>
      <w:pPr>
        <w:pStyle w:val="BodyText"/>
        <w:spacing w:before="11"/>
        <w:rPr>
          <w:b/>
          <w:sz w:val="36"/>
        </w:rPr>
      </w:pPr>
    </w:p>
    <w:p>
      <w:pPr>
        <w:spacing w:line="568" w:lineRule="auto" w:before="0"/>
        <w:ind w:left="126" w:right="0" w:hanging="1"/>
        <w:jc w:val="left"/>
        <w:rPr>
          <w:b/>
          <w:sz w:val="27"/>
        </w:rPr>
      </w:pPr>
      <w:r>
        <w:rPr>
          <w:b/>
          <w:sz w:val="27"/>
        </w:rPr>
        <w:t>PRINCIPAL SECRETARY MINISTRY OF HEALTH MINISTRY OF PUBLIC SERVICE</w:t>
      </w:r>
    </w:p>
    <w:p>
      <w:pPr>
        <w:spacing w:line="310" w:lineRule="exact" w:before="0"/>
        <w:ind w:left="131" w:right="0" w:firstLine="0"/>
        <w:jc w:val="left"/>
        <w:rPr>
          <w:b/>
          <w:sz w:val="27"/>
        </w:rPr>
      </w:pPr>
      <w:r>
        <w:rPr>
          <w:b/>
          <w:sz w:val="27"/>
        </w:rPr>
        <w:t>ATTORNEY GENERAL</w:t>
      </w:r>
    </w:p>
    <w:p>
      <w:pPr>
        <w:spacing w:before="92"/>
        <w:ind w:left="371" w:right="0" w:firstLine="0"/>
        <w:jc w:val="left"/>
        <w:rPr>
          <w:sz w:val="27"/>
        </w:rPr>
      </w:pPr>
      <w:r>
        <w:rPr/>
        <w:br w:type="column"/>
      </w:r>
      <w:r>
        <w:rPr>
          <w:sz w:val="27"/>
        </w:rPr>
        <w:t>Applicant</w:t>
      </w:r>
    </w:p>
    <w:p>
      <w:pPr>
        <w:pStyle w:val="BodyText"/>
        <w:rPr>
          <w:sz w:val="30"/>
        </w:rPr>
      </w:pPr>
    </w:p>
    <w:p>
      <w:pPr>
        <w:pStyle w:val="BodyText"/>
        <w:rPr>
          <w:sz w:val="30"/>
        </w:rPr>
      </w:pPr>
    </w:p>
    <w:p>
      <w:pPr>
        <w:pStyle w:val="BodyText"/>
        <w:spacing w:before="3"/>
        <w:rPr>
          <w:sz w:val="40"/>
        </w:rPr>
      </w:pPr>
    </w:p>
    <w:p>
      <w:pPr>
        <w:spacing w:line="566" w:lineRule="auto" w:before="0"/>
        <w:ind w:left="179" w:right="614" w:hanging="63"/>
        <w:jc w:val="left"/>
        <w:rPr>
          <w:sz w:val="27"/>
        </w:rPr>
      </w:pPr>
      <w:r>
        <w:rPr>
          <w:w w:val="105"/>
          <w:sz w:val="27"/>
        </w:rPr>
        <w:t>1</w:t>
      </w:r>
      <w:r>
        <w:rPr>
          <w:w w:val="105"/>
          <w:position w:val="9"/>
          <w:sz w:val="19"/>
        </w:rPr>
        <w:t>st </w:t>
      </w:r>
      <w:r>
        <w:rPr>
          <w:w w:val="105"/>
          <w:sz w:val="27"/>
        </w:rPr>
        <w:t>Respondent 2</w:t>
      </w:r>
      <w:r>
        <w:rPr>
          <w:w w:val="105"/>
          <w:position w:val="9"/>
          <w:sz w:val="19"/>
        </w:rPr>
        <w:t>nd </w:t>
      </w:r>
      <w:r>
        <w:rPr>
          <w:w w:val="105"/>
          <w:sz w:val="27"/>
        </w:rPr>
        <w:t>Respondent 3</w:t>
      </w:r>
      <w:r>
        <w:rPr>
          <w:w w:val="105"/>
          <w:position w:val="10"/>
          <w:sz w:val="17"/>
        </w:rPr>
        <w:t>rd </w:t>
      </w:r>
      <w:r>
        <w:rPr>
          <w:w w:val="105"/>
          <w:sz w:val="27"/>
        </w:rPr>
        <w:t>Respondent 4</w:t>
      </w:r>
      <w:r>
        <w:rPr>
          <w:w w:val="105"/>
          <w:position w:val="10"/>
          <w:sz w:val="17"/>
        </w:rPr>
        <w:t>th </w:t>
      </w:r>
      <w:r>
        <w:rPr>
          <w:w w:val="105"/>
          <w:sz w:val="27"/>
        </w:rPr>
        <w:t>Respondent</w:t>
      </w:r>
    </w:p>
    <w:p>
      <w:pPr>
        <w:spacing w:after="0" w:line="566" w:lineRule="auto"/>
        <w:jc w:val="left"/>
        <w:rPr>
          <w:sz w:val="27"/>
        </w:rPr>
        <w:sectPr>
          <w:type w:val="continuous"/>
          <w:pgSz w:w="11910" w:h="16850"/>
          <w:pgMar w:top="1500" w:bottom="280" w:left="1420" w:right="580"/>
          <w:cols w:num="2" w:equalWidth="0">
            <w:col w:w="6560" w:space="375"/>
            <w:col w:w="2975"/>
          </w:cols>
        </w:sectPr>
      </w:pPr>
    </w:p>
    <w:p>
      <w:pPr>
        <w:pStyle w:val="BodyText"/>
        <w:spacing w:before="10"/>
        <w:rPr>
          <w:sz w:val="23"/>
        </w:rPr>
      </w:pPr>
      <w:r>
        <w:rPr/>
        <w:pict>
          <v:shape style="position:absolute;margin-left:593.280029pt;margin-top:53.27998pt;width:.1pt;height:113.4pt;mso-position-horizontal-relative:page;mso-position-vertical-relative:page;z-index:0" coordorigin="11866,1066" coordsize="0,2268" path="m11894,14706l11894,13530m11894,15802l11894,14742e" filled="false" stroked="true" strokeweight=".360742pt" strokecolor="#000000">
            <v:path arrowok="t"/>
            <v:stroke dashstyle="solid"/>
            <w10:wrap type="none"/>
          </v:shape>
        </w:pict>
      </w:r>
    </w:p>
    <w:p>
      <w:pPr>
        <w:spacing w:line="252" w:lineRule="auto" w:before="92"/>
        <w:ind w:left="2388" w:right="0" w:hanging="2263"/>
        <w:jc w:val="left"/>
        <w:rPr>
          <w:sz w:val="27"/>
        </w:rPr>
      </w:pPr>
      <w:r>
        <w:rPr>
          <w:b/>
          <w:w w:val="105"/>
          <w:sz w:val="27"/>
        </w:rPr>
        <w:t>Neutral citation: </w:t>
      </w:r>
      <w:r>
        <w:rPr>
          <w:w w:val="105"/>
          <w:sz w:val="27"/>
        </w:rPr>
        <w:t>Sibonginkhosi Xaba v Civil Service Board and 3 Others (195/2018) [2022] SZIC 26 (23 March 2022)</w:t>
      </w:r>
    </w:p>
    <w:p>
      <w:pPr>
        <w:pStyle w:val="BodyText"/>
        <w:spacing w:before="10"/>
        <w:rPr>
          <w:sz w:val="25"/>
        </w:rPr>
      </w:pPr>
    </w:p>
    <w:p>
      <w:pPr>
        <w:tabs>
          <w:tab w:pos="2438" w:val="left" w:leader="none"/>
        </w:tabs>
        <w:spacing w:before="0"/>
        <w:ind w:left="126" w:right="0" w:firstLine="0"/>
        <w:jc w:val="left"/>
        <w:rPr>
          <w:b/>
          <w:sz w:val="27"/>
        </w:rPr>
      </w:pPr>
      <w:r>
        <w:rPr>
          <w:b/>
          <w:position w:val="1"/>
          <w:sz w:val="27"/>
        </w:rPr>
        <w:t>Coram:</w:t>
        <w:tab/>
      </w:r>
      <w:r>
        <w:rPr>
          <w:b/>
          <w:sz w:val="27"/>
        </w:rPr>
        <w:t>S. NSIBANDE</w:t>
      </w:r>
      <w:r>
        <w:rPr>
          <w:b/>
          <w:spacing w:val="20"/>
          <w:sz w:val="27"/>
        </w:rPr>
        <w:t> </w:t>
      </w:r>
      <w:r>
        <w:rPr>
          <w:b/>
          <w:sz w:val="27"/>
        </w:rPr>
        <w:t>J.P.</w:t>
      </w:r>
    </w:p>
    <w:p>
      <w:pPr>
        <w:pStyle w:val="BodyText"/>
        <w:spacing w:before="5"/>
        <w:rPr>
          <w:b/>
          <w:sz w:val="29"/>
        </w:rPr>
      </w:pPr>
    </w:p>
    <w:p>
      <w:pPr>
        <w:spacing w:line="244" w:lineRule="auto" w:before="0"/>
        <w:ind w:left="2456" w:right="1881" w:hanging="25"/>
        <w:jc w:val="left"/>
        <w:rPr>
          <w:sz w:val="27"/>
        </w:rPr>
      </w:pPr>
      <w:r>
        <w:rPr>
          <w:w w:val="105"/>
          <w:sz w:val="27"/>
        </w:rPr>
        <w:t>(Sitting with M.P. Dlamini and E.L.B. Dlamini Nominated Members of the Court)</w:t>
      </w:r>
    </w:p>
    <w:p>
      <w:pPr>
        <w:pStyle w:val="BodyText"/>
        <w:rPr>
          <w:sz w:val="30"/>
        </w:rPr>
      </w:pPr>
    </w:p>
    <w:p>
      <w:pPr>
        <w:pStyle w:val="BodyText"/>
        <w:rPr>
          <w:sz w:val="30"/>
        </w:rPr>
      </w:pPr>
    </w:p>
    <w:p>
      <w:pPr>
        <w:tabs>
          <w:tab w:pos="2484" w:val="left" w:leader="none"/>
        </w:tabs>
        <w:spacing w:before="261"/>
        <w:ind w:left="119" w:right="0" w:firstLine="0"/>
        <w:jc w:val="left"/>
        <w:rPr>
          <w:sz w:val="27"/>
        </w:rPr>
      </w:pPr>
      <w:r>
        <w:rPr>
          <w:b/>
          <w:position w:val="1"/>
          <w:sz w:val="27"/>
        </w:rPr>
        <w:t>Delivered:</w:t>
        <w:tab/>
      </w:r>
      <w:r>
        <w:rPr>
          <w:sz w:val="27"/>
        </w:rPr>
        <w:t>23 March</w:t>
      </w:r>
      <w:r>
        <w:rPr>
          <w:spacing w:val="20"/>
          <w:sz w:val="27"/>
        </w:rPr>
        <w:t> </w:t>
      </w:r>
      <w:r>
        <w:rPr>
          <w:sz w:val="27"/>
        </w:rPr>
        <w:t>2022</w:t>
      </w:r>
    </w:p>
    <w:p>
      <w:pPr>
        <w:spacing w:after="0"/>
        <w:jc w:val="left"/>
        <w:rPr>
          <w:sz w:val="27"/>
        </w:rPr>
        <w:sectPr>
          <w:type w:val="continuous"/>
          <w:pgSz w:w="11910" w:h="16850"/>
          <w:pgMar w:top="1500" w:bottom="280" w:left="1420" w:right="580"/>
        </w:sectPr>
      </w:pPr>
    </w:p>
    <w:p>
      <w:pPr>
        <w:spacing w:before="65"/>
        <w:ind w:left="4017" w:right="0" w:firstLine="0"/>
        <w:jc w:val="left"/>
        <w:rPr>
          <w:b/>
          <w:sz w:val="27"/>
        </w:rPr>
      </w:pPr>
      <w:r>
        <w:rPr>
          <w:b/>
          <w:sz w:val="27"/>
          <w:u w:val="thick"/>
        </w:rPr>
        <w:t>JUDGMENT</w:t>
      </w:r>
    </w:p>
    <w:p>
      <w:pPr>
        <w:pStyle w:val="BodyText"/>
        <w:rPr>
          <w:b/>
          <w:sz w:val="30"/>
        </w:rPr>
      </w:pPr>
    </w:p>
    <w:p>
      <w:pPr>
        <w:pStyle w:val="ListParagraph"/>
        <w:numPr>
          <w:ilvl w:val="0"/>
          <w:numId w:val="1"/>
        </w:numPr>
        <w:tabs>
          <w:tab w:pos="667" w:val="left" w:leader="none"/>
        </w:tabs>
        <w:spacing w:line="480" w:lineRule="auto" w:before="236" w:after="0"/>
        <w:ind w:left="668" w:right="401" w:hanging="549"/>
        <w:jc w:val="both"/>
        <w:rPr>
          <w:sz w:val="28"/>
        </w:rPr>
      </w:pPr>
      <w:r>
        <w:rPr>
          <w:sz w:val="28"/>
        </w:rPr>
        <w:t>The applicant brought to Court an application for the determination of the unresolved dispute he has with the respondents. In his pleadings he claimed that he had been unfairly dismissed and that his dismissal had been both substantively and procedurally unfair. He claimed his terminal benefits, leave pay, his July 2013 salary and twelve months' salary as compensation for unfair dismissal. His claim was  for payment of the sum of E78 031.93 (Seventy Eight Thousand and Thirty-one Emalangeni ninety-two</w:t>
      </w:r>
      <w:r>
        <w:rPr>
          <w:spacing w:val="43"/>
          <w:sz w:val="28"/>
        </w:rPr>
        <w:t> </w:t>
      </w:r>
      <w:r>
        <w:rPr>
          <w:sz w:val="28"/>
        </w:rPr>
        <w:t>cents).</w:t>
      </w:r>
    </w:p>
    <w:p>
      <w:pPr>
        <w:pStyle w:val="BodyText"/>
        <w:rPr>
          <w:sz w:val="30"/>
        </w:rPr>
      </w:pPr>
    </w:p>
    <w:p>
      <w:pPr>
        <w:pStyle w:val="BodyText"/>
        <w:spacing w:before="8"/>
        <w:rPr>
          <w:sz w:val="25"/>
        </w:rPr>
      </w:pPr>
    </w:p>
    <w:p>
      <w:pPr>
        <w:pStyle w:val="ListParagraph"/>
        <w:numPr>
          <w:ilvl w:val="0"/>
          <w:numId w:val="1"/>
        </w:numPr>
        <w:tabs>
          <w:tab w:pos="774" w:val="left" w:leader="none"/>
        </w:tabs>
        <w:spacing w:line="477" w:lineRule="auto" w:before="0" w:after="0"/>
        <w:ind w:left="698" w:right="392" w:hanging="543"/>
        <w:jc w:val="both"/>
        <w:rPr>
          <w:b/>
          <w:sz w:val="28"/>
        </w:rPr>
      </w:pPr>
      <w:r>
        <w:rPr>
          <w:sz w:val="28"/>
        </w:rPr>
        <w:t>His application was opposed by the respondents who denied that applicant's dismissal had been unfair either substantively or procedurally. It was the respondents' contention that the applicant had been dismissed for serious offences, which warranted his dismissal from employment under </w:t>
      </w:r>
      <w:r>
        <w:rPr>
          <w:b/>
          <w:sz w:val="27"/>
        </w:rPr>
        <w:t>Section 36 </w:t>
      </w:r>
      <w:r>
        <w:rPr>
          <w:sz w:val="28"/>
        </w:rPr>
        <w:t>of the </w:t>
      </w:r>
      <w:r>
        <w:rPr>
          <w:b/>
          <w:sz w:val="27"/>
        </w:rPr>
        <w:t>Employment Act</w:t>
      </w:r>
      <w:r>
        <w:rPr>
          <w:b/>
          <w:spacing w:val="12"/>
          <w:sz w:val="27"/>
        </w:rPr>
        <w:t> </w:t>
      </w:r>
      <w:r>
        <w:rPr>
          <w:b/>
          <w:sz w:val="27"/>
        </w:rPr>
        <w:t>1980.</w:t>
      </w:r>
    </w:p>
    <w:p>
      <w:pPr>
        <w:pStyle w:val="BodyText"/>
        <w:rPr>
          <w:b/>
          <w:sz w:val="30"/>
        </w:rPr>
      </w:pPr>
    </w:p>
    <w:p>
      <w:pPr>
        <w:pStyle w:val="BodyText"/>
        <w:spacing w:before="4"/>
        <w:rPr>
          <w:b/>
          <w:sz w:val="26"/>
        </w:rPr>
      </w:pPr>
    </w:p>
    <w:p>
      <w:pPr>
        <w:pStyle w:val="ListParagraph"/>
        <w:numPr>
          <w:ilvl w:val="0"/>
          <w:numId w:val="1"/>
        </w:numPr>
        <w:tabs>
          <w:tab w:pos="667" w:val="left" w:leader="none"/>
        </w:tabs>
        <w:spacing w:line="475" w:lineRule="auto" w:before="0" w:after="0"/>
        <w:ind w:left="720" w:right="392" w:hanging="565"/>
        <w:jc w:val="both"/>
        <w:rPr>
          <w:sz w:val="28"/>
        </w:rPr>
      </w:pPr>
      <w:r>
        <w:rPr>
          <w:sz w:val="28"/>
        </w:rPr>
        <w:t>The applicant has given evidence in proof of his claim and has closed his case. Instead starting on their defence the respondents chose to apply for absolution from the instance. It was the</w:t>
      </w:r>
      <w:r>
        <w:rPr>
          <w:spacing w:val="67"/>
          <w:sz w:val="28"/>
        </w:rPr>
        <w:t> </w:t>
      </w:r>
      <w:r>
        <w:rPr>
          <w:sz w:val="28"/>
        </w:rPr>
        <w:t>respondents'</w:t>
      </w:r>
    </w:p>
    <w:p>
      <w:pPr>
        <w:spacing w:after="0" w:line="475" w:lineRule="auto"/>
        <w:jc w:val="both"/>
        <w:rPr>
          <w:sz w:val="28"/>
        </w:rPr>
        <w:sectPr>
          <w:footerReference w:type="default" r:id="rId6"/>
          <w:pgSz w:w="11910" w:h="16850"/>
          <w:pgMar w:footer="1339" w:header="0" w:top="1520" w:bottom="1520" w:left="1420" w:right="580"/>
          <w:pgNumType w:start="2"/>
        </w:sectPr>
      </w:pPr>
    </w:p>
    <w:p>
      <w:pPr>
        <w:pStyle w:val="BodyText"/>
        <w:spacing w:line="477" w:lineRule="auto" w:before="63"/>
        <w:ind w:left="712" w:hanging="8"/>
      </w:pPr>
      <w:r>
        <w:rPr/>
        <w:t>contention that the applicant had failed to make a </w:t>
      </w:r>
      <w:r>
        <w:rPr>
          <w:i/>
          <w:sz w:val="27"/>
        </w:rPr>
        <w:t>prima </w:t>
      </w:r>
      <w:r>
        <w:rPr/>
        <w:t>facie case considering the evidence delivered by the applicant at trial.</w:t>
      </w:r>
    </w:p>
    <w:p>
      <w:pPr>
        <w:pStyle w:val="BodyText"/>
        <w:rPr>
          <w:sz w:val="30"/>
        </w:rPr>
      </w:pPr>
    </w:p>
    <w:p>
      <w:pPr>
        <w:pStyle w:val="BodyText"/>
        <w:spacing w:before="4"/>
        <w:rPr>
          <w:sz w:val="25"/>
        </w:rPr>
      </w:pPr>
    </w:p>
    <w:p>
      <w:pPr>
        <w:pStyle w:val="ListParagraph"/>
        <w:numPr>
          <w:ilvl w:val="0"/>
          <w:numId w:val="1"/>
        </w:numPr>
        <w:tabs>
          <w:tab w:pos="753" w:val="left" w:leader="none"/>
        </w:tabs>
        <w:spacing w:line="480" w:lineRule="auto" w:before="1" w:after="0"/>
        <w:ind w:left="722" w:right="384" w:hanging="574"/>
        <w:jc w:val="both"/>
        <w:rPr>
          <w:sz w:val="28"/>
        </w:rPr>
      </w:pPr>
      <w:r>
        <w:rPr>
          <w:sz w:val="28"/>
        </w:rPr>
        <w:t>At trial, the applicant testified that he had been accused of having stolen a fridge from his employer and which was found in his house. He had faced charges of theft of the fridge and for unauthorised borrowing of Hlathikhulu Hospital property and failure to act on lawful instructions/insubordination. The charge of theft was subsequently withdrawn at his disciplinary hearing and he was left with the two charges i.e. (i) insubordination; and (ii) unauthorised borrowing of hospital property.</w:t>
      </w:r>
    </w:p>
    <w:p>
      <w:pPr>
        <w:pStyle w:val="BodyText"/>
        <w:rPr>
          <w:sz w:val="30"/>
        </w:rPr>
      </w:pPr>
    </w:p>
    <w:p>
      <w:pPr>
        <w:pStyle w:val="BodyText"/>
        <w:spacing w:before="4"/>
        <w:rPr>
          <w:sz w:val="24"/>
        </w:rPr>
      </w:pPr>
    </w:p>
    <w:p>
      <w:pPr>
        <w:pStyle w:val="ListParagraph"/>
        <w:numPr>
          <w:ilvl w:val="0"/>
          <w:numId w:val="1"/>
        </w:numPr>
        <w:tabs>
          <w:tab w:pos="724" w:val="left" w:leader="none"/>
        </w:tabs>
        <w:spacing w:line="480" w:lineRule="auto" w:before="0" w:after="0"/>
        <w:ind w:left="755" w:right="363" w:hanging="571"/>
        <w:jc w:val="both"/>
        <w:rPr>
          <w:sz w:val="28"/>
        </w:rPr>
      </w:pPr>
      <w:r>
        <w:rPr>
          <w:sz w:val="28"/>
        </w:rPr>
        <w:t>Respondents' stated that the applicant conceded to having taken the fridge for his personal use because he had a function and that he had kept it for over 3 months. They cited the case  of  </w:t>
      </w:r>
      <w:r>
        <w:rPr>
          <w:b/>
          <w:sz w:val="27"/>
        </w:rPr>
        <w:t>Bhekithemba Mamba v Max Enterprises (Pty) Ltd t/a  Swaziland  Security Academy IC Case No. 135/2010 [2018] SZ 137  </w:t>
      </w:r>
      <w:r>
        <w:rPr>
          <w:sz w:val="28"/>
        </w:rPr>
        <w:t>for  the proposition that there was no evidence (on the substantive nature of applicant's dismissal) required of them since applicant admitted under oath that he had taken the</w:t>
      </w:r>
      <w:r>
        <w:rPr>
          <w:spacing w:val="-16"/>
          <w:sz w:val="28"/>
        </w:rPr>
        <w:t> </w:t>
      </w:r>
      <w:r>
        <w:rPr>
          <w:sz w:val="28"/>
        </w:rPr>
        <w:t>fridge.</w:t>
      </w:r>
    </w:p>
    <w:p>
      <w:pPr>
        <w:spacing w:after="0" w:line="480" w:lineRule="auto"/>
        <w:jc w:val="both"/>
        <w:rPr>
          <w:sz w:val="28"/>
        </w:rPr>
        <w:sectPr>
          <w:pgSz w:w="11910" w:h="16850"/>
          <w:pgMar w:header="0" w:footer="1339" w:top="1260" w:bottom="1680" w:left="1420" w:right="580"/>
        </w:sectPr>
      </w:pPr>
    </w:p>
    <w:p>
      <w:pPr>
        <w:pStyle w:val="ListParagraph"/>
        <w:numPr>
          <w:ilvl w:val="0"/>
          <w:numId w:val="1"/>
        </w:numPr>
        <w:tabs>
          <w:tab w:pos="631" w:val="left" w:leader="none"/>
        </w:tabs>
        <w:spacing w:line="477" w:lineRule="auto" w:before="77" w:after="0"/>
        <w:ind w:left="726" w:right="375" w:hanging="571"/>
        <w:jc w:val="both"/>
        <w:rPr>
          <w:sz w:val="28"/>
        </w:rPr>
      </w:pPr>
      <w:r>
        <w:rPr>
          <w:sz w:val="28"/>
        </w:rPr>
        <w:t>On the procedural aspect, the respondents alleged that applicant stated in his particulars that he was called to a disciplinary hearing and was found guilty by the disciplinary Chairman. Further that applicant stated that he was never afforded opportunity to call witness or cross­ examine those who were brought on behalf of the respondents. They submit that this constitutes an admission that the applicant was taken through a disciplinary hearing by the</w:t>
      </w:r>
      <w:r>
        <w:rPr>
          <w:spacing w:val="15"/>
          <w:sz w:val="28"/>
        </w:rPr>
        <w:t> </w:t>
      </w:r>
      <w:r>
        <w:rPr>
          <w:sz w:val="28"/>
        </w:rPr>
        <w:t>respondents.</w:t>
      </w:r>
    </w:p>
    <w:p>
      <w:pPr>
        <w:pStyle w:val="BodyText"/>
        <w:spacing w:line="477" w:lineRule="auto" w:before="9"/>
        <w:ind w:left="748" w:right="357" w:hanging="3"/>
        <w:jc w:val="both"/>
      </w:pPr>
      <w:r>
        <w:rPr/>
        <w:t>They submitted further that in his evidence in chief he first gave the impression that he had not been given an opportunity to cross­ examine witnesses; that he had said, in answer to a question from his attorney, that he had been given a chance to put his side of the story and ask questions by the respondent. It was said that the he later denied having been given a chance to state his side of the story when he was being cross-examined.</w:t>
      </w:r>
    </w:p>
    <w:p>
      <w:pPr>
        <w:pStyle w:val="BodyText"/>
        <w:spacing w:line="477" w:lineRule="auto" w:before="15"/>
        <w:ind w:left="762" w:right="358" w:hanging="2"/>
        <w:jc w:val="both"/>
      </w:pPr>
      <w:r>
        <w:rPr/>
        <w:t>They further submitted that his evidence was not corroborated by anyone; that he was not a credible witness since he contradicted himself on a number of issues in particular, that he gave  different years for the number of years he had been employed.</w:t>
      </w:r>
    </w:p>
    <w:p>
      <w:pPr>
        <w:pStyle w:val="BodyText"/>
        <w:spacing w:line="475" w:lineRule="auto" w:before="5"/>
        <w:ind w:left="760" w:right="354" w:firstLine="2"/>
        <w:jc w:val="both"/>
        <w:rPr>
          <w:b/>
          <w:sz w:val="27"/>
        </w:rPr>
      </w:pPr>
      <w:r>
        <w:rPr/>
        <w:t>It was the respondents' submission that the applicant had not made a </w:t>
      </w:r>
      <w:r>
        <w:rPr>
          <w:i/>
          <w:sz w:val="27"/>
        </w:rPr>
        <w:t>prima facie </w:t>
      </w:r>
      <w:r>
        <w:rPr/>
        <w:t>case upon which a reasonable man in the position of the Court might find for the applicant. The Court was referred to</w:t>
      </w:r>
      <w:r>
        <w:rPr>
          <w:spacing w:val="68"/>
        </w:rPr>
        <w:t> </w:t>
      </w:r>
      <w:r>
        <w:rPr>
          <w:b/>
          <w:sz w:val="27"/>
        </w:rPr>
        <w:t>William</w:t>
      </w:r>
    </w:p>
    <w:p>
      <w:pPr>
        <w:spacing w:after="0" w:line="475" w:lineRule="auto"/>
        <w:jc w:val="both"/>
        <w:rPr>
          <w:sz w:val="27"/>
        </w:rPr>
        <w:sectPr>
          <w:pgSz w:w="11910" w:h="16850"/>
          <w:pgMar w:header="0" w:footer="1339" w:top="1260" w:bottom="1620" w:left="1420" w:right="580"/>
        </w:sectPr>
      </w:pPr>
    </w:p>
    <w:p>
      <w:pPr>
        <w:spacing w:line="496" w:lineRule="auto" w:before="72"/>
        <w:ind w:left="884" w:right="224" w:hanging="7"/>
        <w:jc w:val="both"/>
        <w:rPr>
          <w:b/>
          <w:sz w:val="27"/>
        </w:rPr>
      </w:pPr>
      <w:r>
        <w:rPr>
          <w:b/>
          <w:w w:val="105"/>
          <w:sz w:val="27"/>
        </w:rPr>
        <w:t>Manana</w:t>
      </w:r>
      <w:r>
        <w:rPr>
          <w:b/>
          <w:spacing w:val="-9"/>
          <w:w w:val="105"/>
          <w:sz w:val="27"/>
        </w:rPr>
        <w:t> </w:t>
      </w:r>
      <w:r>
        <w:rPr>
          <w:b/>
          <w:w w:val="105"/>
          <w:sz w:val="27"/>
        </w:rPr>
        <w:t>v</w:t>
      </w:r>
      <w:r>
        <w:rPr>
          <w:b/>
          <w:spacing w:val="-16"/>
          <w:w w:val="105"/>
          <w:sz w:val="27"/>
        </w:rPr>
        <w:t> </w:t>
      </w:r>
      <w:r>
        <w:rPr>
          <w:b/>
          <w:w w:val="105"/>
          <w:sz w:val="27"/>
        </w:rPr>
        <w:t>Royal</w:t>
      </w:r>
      <w:r>
        <w:rPr>
          <w:b/>
          <w:spacing w:val="-11"/>
          <w:w w:val="105"/>
          <w:sz w:val="27"/>
        </w:rPr>
        <w:t> </w:t>
      </w:r>
      <w:r>
        <w:rPr>
          <w:b/>
          <w:w w:val="105"/>
          <w:sz w:val="27"/>
        </w:rPr>
        <w:t>Swaziland</w:t>
      </w:r>
      <w:r>
        <w:rPr>
          <w:b/>
          <w:spacing w:val="-6"/>
          <w:w w:val="105"/>
          <w:sz w:val="27"/>
        </w:rPr>
        <w:t> </w:t>
      </w:r>
      <w:r>
        <w:rPr>
          <w:b/>
          <w:w w:val="105"/>
          <w:sz w:val="27"/>
        </w:rPr>
        <w:t>Sugar</w:t>
      </w:r>
      <w:r>
        <w:rPr>
          <w:b/>
          <w:spacing w:val="-6"/>
          <w:w w:val="105"/>
          <w:sz w:val="27"/>
        </w:rPr>
        <w:t> </w:t>
      </w:r>
      <w:r>
        <w:rPr>
          <w:b/>
          <w:w w:val="105"/>
          <w:sz w:val="27"/>
        </w:rPr>
        <w:t>Corporation</w:t>
      </w:r>
      <w:r>
        <w:rPr>
          <w:b/>
          <w:spacing w:val="-7"/>
          <w:w w:val="105"/>
          <w:sz w:val="27"/>
        </w:rPr>
        <w:t> </w:t>
      </w:r>
      <w:r>
        <w:rPr>
          <w:b/>
          <w:w w:val="105"/>
          <w:sz w:val="27"/>
        </w:rPr>
        <w:t>(214/2007)</w:t>
      </w:r>
      <w:r>
        <w:rPr>
          <w:b/>
          <w:spacing w:val="0"/>
          <w:w w:val="105"/>
          <w:sz w:val="27"/>
        </w:rPr>
        <w:t> </w:t>
      </w:r>
      <w:r>
        <w:rPr>
          <w:b/>
          <w:w w:val="105"/>
          <w:sz w:val="27"/>
        </w:rPr>
        <w:t>SZIC</w:t>
      </w:r>
      <w:r>
        <w:rPr>
          <w:b/>
          <w:spacing w:val="-14"/>
          <w:w w:val="105"/>
          <w:sz w:val="27"/>
        </w:rPr>
        <w:t> </w:t>
      </w:r>
      <w:r>
        <w:rPr>
          <w:b/>
          <w:w w:val="105"/>
          <w:sz w:val="27"/>
        </w:rPr>
        <w:t>04; Nicholas Motsa v OK Bazaars (Pty) Ltd t/a Shoprite Industrial Court Case No.06/2015; and Hurtwitz Brney v Neofytou Darren Gauteng</w:t>
      </w:r>
      <w:r>
        <w:rPr>
          <w:b/>
          <w:spacing w:val="-4"/>
          <w:w w:val="105"/>
          <w:sz w:val="27"/>
        </w:rPr>
        <w:t> </w:t>
      </w:r>
      <w:r>
        <w:rPr>
          <w:b/>
          <w:w w:val="105"/>
          <w:sz w:val="27"/>
        </w:rPr>
        <w:t>Division</w:t>
      </w:r>
      <w:r>
        <w:rPr>
          <w:b/>
          <w:spacing w:val="-8"/>
          <w:w w:val="105"/>
          <w:sz w:val="27"/>
        </w:rPr>
        <w:t> </w:t>
      </w:r>
      <w:r>
        <w:rPr>
          <w:b/>
          <w:w w:val="105"/>
          <w:sz w:val="27"/>
        </w:rPr>
        <w:t>of</w:t>
      </w:r>
      <w:r>
        <w:rPr>
          <w:b/>
          <w:spacing w:val="-15"/>
          <w:w w:val="105"/>
          <w:sz w:val="27"/>
        </w:rPr>
        <w:t> </w:t>
      </w:r>
      <w:r>
        <w:rPr>
          <w:b/>
          <w:w w:val="105"/>
          <w:sz w:val="27"/>
        </w:rPr>
        <w:t>the</w:t>
      </w:r>
      <w:r>
        <w:rPr>
          <w:b/>
          <w:spacing w:val="-22"/>
          <w:w w:val="105"/>
          <w:sz w:val="27"/>
        </w:rPr>
        <w:t> </w:t>
      </w:r>
      <w:r>
        <w:rPr>
          <w:b/>
          <w:w w:val="105"/>
          <w:sz w:val="27"/>
        </w:rPr>
        <w:t>High</w:t>
      </w:r>
      <w:r>
        <w:rPr>
          <w:b/>
          <w:spacing w:val="-13"/>
          <w:w w:val="105"/>
          <w:sz w:val="27"/>
        </w:rPr>
        <w:t> </w:t>
      </w:r>
      <w:r>
        <w:rPr>
          <w:b/>
          <w:w w:val="105"/>
          <w:sz w:val="27"/>
        </w:rPr>
        <w:t>of</w:t>
      </w:r>
      <w:r>
        <w:rPr>
          <w:b/>
          <w:spacing w:val="-14"/>
          <w:w w:val="105"/>
          <w:sz w:val="27"/>
        </w:rPr>
        <w:t> </w:t>
      </w:r>
      <w:r>
        <w:rPr>
          <w:b/>
          <w:w w:val="105"/>
          <w:sz w:val="27"/>
        </w:rPr>
        <w:t>South</w:t>
      </w:r>
      <w:r>
        <w:rPr>
          <w:b/>
          <w:spacing w:val="-4"/>
          <w:w w:val="105"/>
          <w:sz w:val="27"/>
        </w:rPr>
        <w:t> </w:t>
      </w:r>
      <w:r>
        <w:rPr>
          <w:b/>
          <w:w w:val="105"/>
          <w:sz w:val="27"/>
        </w:rPr>
        <w:t>Africa</w:t>
      </w:r>
      <w:r>
        <w:rPr>
          <w:b/>
          <w:spacing w:val="-11"/>
          <w:w w:val="105"/>
          <w:sz w:val="27"/>
        </w:rPr>
        <w:t> </w:t>
      </w:r>
      <w:r>
        <w:rPr>
          <w:b/>
          <w:w w:val="105"/>
          <w:sz w:val="27"/>
        </w:rPr>
        <w:t>Case</w:t>
      </w:r>
      <w:r>
        <w:rPr>
          <w:b/>
          <w:spacing w:val="-13"/>
          <w:w w:val="105"/>
          <w:sz w:val="27"/>
        </w:rPr>
        <w:t> </w:t>
      </w:r>
      <w:r>
        <w:rPr>
          <w:b/>
          <w:w w:val="105"/>
          <w:sz w:val="27"/>
        </w:rPr>
        <w:t>No.</w:t>
      </w:r>
      <w:r>
        <w:rPr>
          <w:b/>
          <w:spacing w:val="-12"/>
          <w:w w:val="105"/>
          <w:sz w:val="27"/>
        </w:rPr>
        <w:t> </w:t>
      </w:r>
      <w:r>
        <w:rPr>
          <w:b/>
          <w:w w:val="105"/>
          <w:sz w:val="27"/>
        </w:rPr>
        <w:t>235/2015.</w:t>
      </w:r>
    </w:p>
    <w:p>
      <w:pPr>
        <w:pStyle w:val="BodyText"/>
        <w:rPr>
          <w:b/>
          <w:sz w:val="30"/>
        </w:rPr>
      </w:pPr>
    </w:p>
    <w:p>
      <w:pPr>
        <w:pStyle w:val="BodyText"/>
        <w:spacing w:before="8"/>
        <w:rPr>
          <w:b/>
          <w:sz w:val="24"/>
        </w:rPr>
      </w:pPr>
    </w:p>
    <w:p>
      <w:pPr>
        <w:pStyle w:val="ListParagraph"/>
        <w:numPr>
          <w:ilvl w:val="0"/>
          <w:numId w:val="1"/>
        </w:numPr>
        <w:tabs>
          <w:tab w:pos="804" w:val="left" w:leader="none"/>
        </w:tabs>
        <w:spacing w:line="477" w:lineRule="auto" w:before="0" w:after="0"/>
        <w:ind w:left="900" w:right="206" w:hanging="579"/>
        <w:jc w:val="both"/>
        <w:rPr>
          <w:sz w:val="28"/>
        </w:rPr>
      </w:pPr>
      <w:r>
        <w:rPr>
          <w:sz w:val="28"/>
        </w:rPr>
        <w:t>The applicant opposed the absolution from the instance application. He denied being untrustworthy and being of a demeanour suggesting his evidence was wanting; that the issue of the number of years he had been employed was a mere miscalculation and that the issue regarding disowning his pleadings had been as a result of failing to understand the cross-examiner's question - that none of these issues were designed to mislead the Court. . It was applicant's submission that he was a credible witness and that he had not lied about the lack of witnesses at his disciplinary</w:t>
      </w:r>
      <w:r>
        <w:rPr>
          <w:spacing w:val="23"/>
          <w:sz w:val="28"/>
        </w:rPr>
        <w:t> </w:t>
      </w:r>
      <w:r>
        <w:rPr>
          <w:sz w:val="28"/>
        </w:rPr>
        <w:t>hearing.</w:t>
      </w:r>
    </w:p>
    <w:p>
      <w:pPr>
        <w:pStyle w:val="BodyText"/>
        <w:rPr>
          <w:sz w:val="30"/>
        </w:rPr>
      </w:pPr>
    </w:p>
    <w:p>
      <w:pPr>
        <w:pStyle w:val="BodyText"/>
        <w:spacing w:before="4"/>
        <w:rPr>
          <w:sz w:val="27"/>
        </w:rPr>
      </w:pPr>
    </w:p>
    <w:p>
      <w:pPr>
        <w:pStyle w:val="ListParagraph"/>
        <w:numPr>
          <w:ilvl w:val="0"/>
          <w:numId w:val="1"/>
        </w:numPr>
        <w:tabs>
          <w:tab w:pos="912" w:val="left" w:leader="none"/>
        </w:tabs>
        <w:spacing w:line="468" w:lineRule="auto" w:before="0" w:after="0"/>
        <w:ind w:left="914" w:right="214" w:hanging="578"/>
        <w:jc w:val="both"/>
        <w:rPr>
          <w:sz w:val="28"/>
        </w:rPr>
      </w:pPr>
      <w:r>
        <w:rPr>
          <w:sz w:val="28"/>
        </w:rPr>
        <w:t>The principle applicable to absolution applications was correctly stated by both counsel as</w:t>
      </w:r>
      <w:r>
        <w:rPr>
          <w:spacing w:val="3"/>
          <w:sz w:val="28"/>
        </w:rPr>
        <w:t> </w:t>
      </w:r>
      <w:r>
        <w:rPr>
          <w:sz w:val="28"/>
        </w:rPr>
        <w:t>follows</w:t>
      </w:r>
    </w:p>
    <w:p>
      <w:pPr>
        <w:spacing w:line="491" w:lineRule="auto" w:before="45"/>
        <w:ind w:left="897" w:right="213" w:firstLine="20"/>
        <w:jc w:val="both"/>
        <w:rPr>
          <w:i/>
          <w:sz w:val="27"/>
        </w:rPr>
      </w:pPr>
      <w:r>
        <w:rPr>
          <w:i/>
          <w:w w:val="105"/>
          <w:sz w:val="27"/>
        </w:rPr>
        <w:t>"At the close of the case for the plaintiff, therefore, the question which </w:t>
      </w:r>
      <w:r>
        <w:rPr>
          <w:i/>
          <w:w w:val="105"/>
          <w:sz w:val="27"/>
        </w:rPr>
        <w:t>arises for the consideration of the Court is, is there evidence upon which </w:t>
      </w:r>
      <w:r>
        <w:rPr>
          <w:w w:val="105"/>
          <w:sz w:val="26"/>
        </w:rPr>
        <w:t>a </w:t>
      </w:r>
      <w:r>
        <w:rPr>
          <w:i/>
          <w:w w:val="105"/>
          <w:sz w:val="27"/>
        </w:rPr>
        <w:t>reasonable man might find for the plaintiff ... in other words </w:t>
      </w:r>
      <w:r>
        <w:rPr>
          <w:i/>
          <w:w w:val="105"/>
          <w:sz w:val="27"/>
        </w:rPr>
        <w:t>was there such evidence before the Court upon which </w:t>
      </w:r>
      <w:r>
        <w:rPr>
          <w:w w:val="105"/>
          <w:sz w:val="26"/>
        </w:rPr>
        <w:t>a </w:t>
      </w:r>
      <w:r>
        <w:rPr>
          <w:i/>
          <w:w w:val="105"/>
          <w:sz w:val="27"/>
        </w:rPr>
        <w:t>reasonable</w:t>
      </w:r>
    </w:p>
    <w:p>
      <w:pPr>
        <w:spacing w:after="0" w:line="491" w:lineRule="auto"/>
        <w:jc w:val="both"/>
        <w:rPr>
          <w:sz w:val="27"/>
        </w:rPr>
        <w:sectPr>
          <w:pgSz w:w="11910" w:h="16850"/>
          <w:pgMar w:header="0" w:footer="1339" w:top="1340" w:bottom="1580" w:left="1420" w:right="580"/>
        </w:sectPr>
      </w:pPr>
    </w:p>
    <w:p>
      <w:pPr>
        <w:spacing w:line="487" w:lineRule="auto" w:before="79"/>
        <w:ind w:left="848" w:right="231" w:hanging="4"/>
        <w:jc w:val="both"/>
        <w:rPr>
          <w:b/>
          <w:sz w:val="27"/>
        </w:rPr>
      </w:pPr>
      <w:r>
        <w:rPr>
          <w:i/>
          <w:w w:val="105"/>
          <w:sz w:val="27"/>
        </w:rPr>
        <w:t>man might, </w:t>
      </w:r>
      <w:r>
        <w:rPr>
          <w:i/>
          <w:w w:val="105"/>
          <w:sz w:val="27"/>
          <w:u w:val="thick"/>
        </w:rPr>
        <w:t>not should</w:t>
      </w:r>
      <w:r>
        <w:rPr>
          <w:i/>
          <w:w w:val="105"/>
          <w:sz w:val="27"/>
        </w:rPr>
        <w:t> give judgement against Hunter?" </w:t>
      </w:r>
      <w:r>
        <w:rPr>
          <w:b/>
          <w:w w:val="105"/>
          <w:sz w:val="27"/>
        </w:rPr>
        <w:t>(Gascoyne v Paul and Hunter 1917 TPD 170 </w:t>
      </w:r>
      <w:r>
        <w:rPr>
          <w:i/>
          <w:w w:val="105"/>
          <w:sz w:val="27"/>
        </w:rPr>
        <w:t>cited with approval in </w:t>
      </w:r>
      <w:r>
        <w:rPr>
          <w:b/>
          <w:w w:val="105"/>
          <w:sz w:val="27"/>
        </w:rPr>
        <w:t>William Manana </w:t>
      </w:r>
      <w:r>
        <w:rPr>
          <w:rFonts w:ascii="Times New Roman"/>
          <w:b/>
          <w:w w:val="105"/>
          <w:sz w:val="29"/>
        </w:rPr>
        <w:t>v </w:t>
      </w:r>
      <w:r>
        <w:rPr>
          <w:b/>
          <w:w w:val="105"/>
          <w:sz w:val="27"/>
        </w:rPr>
        <w:t>Royal Swaziland Sugar Corporation (214/2007)[2007] SZIC 04).</w:t>
      </w:r>
    </w:p>
    <w:p>
      <w:pPr>
        <w:pStyle w:val="BodyText"/>
        <w:rPr>
          <w:b/>
          <w:sz w:val="30"/>
        </w:rPr>
      </w:pPr>
    </w:p>
    <w:p>
      <w:pPr>
        <w:pStyle w:val="BodyText"/>
        <w:spacing w:before="1"/>
        <w:rPr>
          <w:b/>
          <w:sz w:val="25"/>
        </w:rPr>
      </w:pPr>
    </w:p>
    <w:p>
      <w:pPr>
        <w:pStyle w:val="ListParagraph"/>
        <w:numPr>
          <w:ilvl w:val="0"/>
          <w:numId w:val="1"/>
        </w:numPr>
        <w:tabs>
          <w:tab w:pos="774" w:val="left" w:leader="none"/>
        </w:tabs>
        <w:spacing w:line="494" w:lineRule="auto" w:before="0" w:after="0"/>
        <w:ind w:left="876" w:right="236" w:hanging="580"/>
        <w:jc w:val="both"/>
        <w:rPr>
          <w:rFonts w:ascii="Times New Roman"/>
          <w:b/>
          <w:sz w:val="28"/>
        </w:rPr>
      </w:pPr>
      <w:r>
        <w:rPr>
          <w:i/>
          <w:sz w:val="27"/>
        </w:rPr>
        <w:t>"The consideration of an absolution application  is not done  on the basis </w:t>
      </w:r>
      <w:r>
        <w:rPr>
          <w:i/>
          <w:sz w:val="27"/>
        </w:rPr>
        <w:t>of simply accepting all the testimony presented by the applicant to be true. The evidence must still be evaluated  and  compared  to  all available evidence at that stage." </w:t>
      </w:r>
      <w:r>
        <w:rPr>
          <w:b/>
          <w:sz w:val="27"/>
        </w:rPr>
        <w:t>(Justice Dlamini A. in William Manana</w:t>
      </w:r>
      <w:r>
        <w:rPr>
          <w:b/>
          <w:spacing w:val="17"/>
          <w:sz w:val="27"/>
        </w:rPr>
        <w:t> </w:t>
      </w:r>
      <w:r>
        <w:rPr>
          <w:b/>
          <w:sz w:val="27"/>
        </w:rPr>
        <w:t>supra).</w:t>
      </w:r>
    </w:p>
    <w:p>
      <w:pPr>
        <w:pStyle w:val="BodyText"/>
        <w:rPr>
          <w:b/>
          <w:sz w:val="30"/>
        </w:rPr>
      </w:pPr>
    </w:p>
    <w:p>
      <w:pPr>
        <w:pStyle w:val="BodyText"/>
        <w:spacing w:before="5"/>
        <w:rPr>
          <w:b/>
          <w:sz w:val="25"/>
        </w:rPr>
      </w:pPr>
    </w:p>
    <w:p>
      <w:pPr>
        <w:pStyle w:val="ListParagraph"/>
        <w:numPr>
          <w:ilvl w:val="0"/>
          <w:numId w:val="1"/>
        </w:numPr>
        <w:tabs>
          <w:tab w:pos="891" w:val="left" w:leader="none"/>
        </w:tabs>
        <w:spacing w:line="491" w:lineRule="auto" w:before="1" w:after="0"/>
        <w:ind w:left="893" w:right="217" w:hanging="578"/>
        <w:jc w:val="both"/>
        <w:rPr>
          <w:b/>
          <w:sz w:val="27"/>
        </w:rPr>
      </w:pPr>
      <w:r>
        <w:rPr>
          <w:w w:val="105"/>
          <w:sz w:val="27"/>
        </w:rPr>
        <w:t>This is the position that prevails in civil cases where the applicant is expected</w:t>
      </w:r>
      <w:r>
        <w:rPr>
          <w:spacing w:val="-4"/>
          <w:w w:val="105"/>
          <w:sz w:val="27"/>
        </w:rPr>
        <w:t> </w:t>
      </w:r>
      <w:r>
        <w:rPr>
          <w:w w:val="105"/>
          <w:sz w:val="27"/>
        </w:rPr>
        <w:t>to</w:t>
      </w:r>
      <w:r>
        <w:rPr>
          <w:spacing w:val="-22"/>
          <w:w w:val="105"/>
          <w:sz w:val="27"/>
        </w:rPr>
        <w:t> </w:t>
      </w:r>
      <w:r>
        <w:rPr>
          <w:w w:val="105"/>
          <w:sz w:val="27"/>
        </w:rPr>
        <w:t>place</w:t>
      </w:r>
      <w:r>
        <w:rPr>
          <w:spacing w:val="-7"/>
          <w:w w:val="105"/>
          <w:sz w:val="27"/>
        </w:rPr>
        <w:t> </w:t>
      </w:r>
      <w:r>
        <w:rPr>
          <w:w w:val="105"/>
          <w:sz w:val="27"/>
        </w:rPr>
        <w:t>a</w:t>
      </w:r>
      <w:r>
        <w:rPr>
          <w:spacing w:val="-8"/>
          <w:w w:val="105"/>
          <w:sz w:val="27"/>
        </w:rPr>
        <w:t> </w:t>
      </w:r>
      <w:r>
        <w:rPr>
          <w:i/>
          <w:w w:val="105"/>
          <w:sz w:val="27"/>
        </w:rPr>
        <w:t>prima</w:t>
      </w:r>
      <w:r>
        <w:rPr>
          <w:i/>
          <w:spacing w:val="-1"/>
          <w:w w:val="105"/>
          <w:sz w:val="27"/>
        </w:rPr>
        <w:t> </w:t>
      </w:r>
      <w:r>
        <w:rPr>
          <w:i/>
          <w:w w:val="105"/>
          <w:sz w:val="27"/>
        </w:rPr>
        <w:t>facie</w:t>
      </w:r>
      <w:r>
        <w:rPr>
          <w:i/>
          <w:spacing w:val="-6"/>
          <w:w w:val="105"/>
          <w:sz w:val="27"/>
        </w:rPr>
        <w:t> </w:t>
      </w:r>
      <w:r>
        <w:rPr>
          <w:w w:val="105"/>
          <w:sz w:val="27"/>
        </w:rPr>
        <w:t>case</w:t>
      </w:r>
      <w:r>
        <w:rPr>
          <w:spacing w:val="-10"/>
          <w:w w:val="105"/>
          <w:sz w:val="27"/>
        </w:rPr>
        <w:t> </w:t>
      </w:r>
      <w:r>
        <w:rPr>
          <w:w w:val="105"/>
          <w:sz w:val="27"/>
        </w:rPr>
        <w:t>to</w:t>
      </w:r>
      <w:r>
        <w:rPr>
          <w:spacing w:val="-12"/>
          <w:w w:val="105"/>
          <w:sz w:val="27"/>
        </w:rPr>
        <w:t> </w:t>
      </w:r>
      <w:r>
        <w:rPr>
          <w:w w:val="105"/>
          <w:sz w:val="27"/>
        </w:rPr>
        <w:t>be</w:t>
      </w:r>
      <w:r>
        <w:rPr>
          <w:spacing w:val="-11"/>
          <w:w w:val="105"/>
          <w:sz w:val="27"/>
        </w:rPr>
        <w:t> </w:t>
      </w:r>
      <w:r>
        <w:rPr>
          <w:w w:val="105"/>
          <w:sz w:val="27"/>
        </w:rPr>
        <w:t>answered</w:t>
      </w:r>
      <w:r>
        <w:rPr>
          <w:spacing w:val="8"/>
          <w:w w:val="105"/>
          <w:sz w:val="27"/>
        </w:rPr>
        <w:t> </w:t>
      </w:r>
      <w:r>
        <w:rPr>
          <w:w w:val="105"/>
          <w:sz w:val="27"/>
        </w:rPr>
        <w:t>by</w:t>
      </w:r>
      <w:r>
        <w:rPr>
          <w:spacing w:val="-4"/>
          <w:w w:val="105"/>
          <w:sz w:val="27"/>
        </w:rPr>
        <w:t> </w:t>
      </w:r>
      <w:r>
        <w:rPr>
          <w:w w:val="105"/>
          <w:sz w:val="27"/>
        </w:rPr>
        <w:t>a</w:t>
      </w:r>
      <w:r>
        <w:rPr>
          <w:spacing w:val="-13"/>
          <w:w w:val="105"/>
          <w:sz w:val="27"/>
        </w:rPr>
        <w:t> </w:t>
      </w:r>
      <w:r>
        <w:rPr>
          <w:w w:val="105"/>
          <w:sz w:val="27"/>
        </w:rPr>
        <w:t>respondent. I</w:t>
      </w:r>
      <w:r>
        <w:rPr>
          <w:spacing w:val="-5"/>
          <w:w w:val="105"/>
          <w:sz w:val="27"/>
        </w:rPr>
        <w:t> </w:t>
      </w:r>
      <w:r>
        <w:rPr>
          <w:w w:val="105"/>
          <w:sz w:val="27"/>
        </w:rPr>
        <w:t>dare</w:t>
      </w:r>
      <w:r>
        <w:rPr>
          <w:spacing w:val="-17"/>
          <w:w w:val="105"/>
          <w:sz w:val="27"/>
        </w:rPr>
        <w:t> </w:t>
      </w:r>
      <w:r>
        <w:rPr>
          <w:w w:val="105"/>
          <w:sz w:val="27"/>
        </w:rPr>
        <w:t>say</w:t>
      </w:r>
      <w:r>
        <w:rPr>
          <w:spacing w:val="-9"/>
          <w:w w:val="105"/>
          <w:sz w:val="27"/>
        </w:rPr>
        <w:t> </w:t>
      </w:r>
      <w:r>
        <w:rPr>
          <w:w w:val="105"/>
          <w:sz w:val="27"/>
        </w:rPr>
        <w:t>there</w:t>
      </w:r>
      <w:r>
        <w:rPr>
          <w:spacing w:val="-20"/>
          <w:w w:val="105"/>
          <w:sz w:val="27"/>
        </w:rPr>
        <w:t> </w:t>
      </w:r>
      <w:r>
        <w:rPr>
          <w:w w:val="105"/>
          <w:sz w:val="27"/>
        </w:rPr>
        <w:t>is</w:t>
      </w:r>
      <w:r>
        <w:rPr>
          <w:spacing w:val="-17"/>
          <w:w w:val="105"/>
          <w:sz w:val="27"/>
        </w:rPr>
        <w:t> </w:t>
      </w:r>
      <w:r>
        <w:rPr>
          <w:w w:val="105"/>
          <w:sz w:val="27"/>
        </w:rPr>
        <w:t>a</w:t>
      </w:r>
      <w:r>
        <w:rPr>
          <w:spacing w:val="-18"/>
          <w:w w:val="105"/>
          <w:sz w:val="27"/>
        </w:rPr>
        <w:t> </w:t>
      </w:r>
      <w:r>
        <w:rPr>
          <w:w w:val="105"/>
          <w:sz w:val="27"/>
        </w:rPr>
        <w:t>slight</w:t>
      </w:r>
      <w:r>
        <w:rPr>
          <w:spacing w:val="-6"/>
          <w:w w:val="105"/>
          <w:sz w:val="27"/>
        </w:rPr>
        <w:t> </w:t>
      </w:r>
      <w:r>
        <w:rPr>
          <w:w w:val="105"/>
          <w:sz w:val="27"/>
        </w:rPr>
        <w:t>but</w:t>
      </w:r>
      <w:r>
        <w:rPr>
          <w:spacing w:val="-10"/>
          <w:w w:val="105"/>
          <w:sz w:val="27"/>
        </w:rPr>
        <w:t> </w:t>
      </w:r>
      <w:r>
        <w:rPr>
          <w:w w:val="105"/>
          <w:sz w:val="27"/>
        </w:rPr>
        <w:t>significant</w:t>
      </w:r>
      <w:r>
        <w:rPr>
          <w:spacing w:val="-2"/>
          <w:w w:val="105"/>
          <w:sz w:val="27"/>
        </w:rPr>
        <w:t> </w:t>
      </w:r>
      <w:r>
        <w:rPr>
          <w:w w:val="105"/>
          <w:sz w:val="27"/>
        </w:rPr>
        <w:t>difference</w:t>
      </w:r>
      <w:r>
        <w:rPr>
          <w:spacing w:val="-7"/>
          <w:w w:val="105"/>
          <w:sz w:val="27"/>
        </w:rPr>
        <w:t> </w:t>
      </w:r>
      <w:r>
        <w:rPr>
          <w:w w:val="105"/>
          <w:sz w:val="27"/>
        </w:rPr>
        <w:t>where</w:t>
      </w:r>
      <w:r>
        <w:rPr>
          <w:spacing w:val="-10"/>
          <w:w w:val="105"/>
          <w:sz w:val="27"/>
        </w:rPr>
        <w:t> </w:t>
      </w:r>
      <w:r>
        <w:rPr>
          <w:w w:val="105"/>
          <w:sz w:val="27"/>
        </w:rPr>
        <w:t>absolution</w:t>
      </w:r>
      <w:r>
        <w:rPr>
          <w:spacing w:val="-10"/>
          <w:w w:val="105"/>
          <w:sz w:val="27"/>
        </w:rPr>
        <w:t> </w:t>
      </w:r>
      <w:r>
        <w:rPr>
          <w:w w:val="105"/>
          <w:sz w:val="27"/>
        </w:rPr>
        <w:t>is sought in labour matters. This difference is, in our view, brought about by </w:t>
      </w:r>
      <w:r>
        <w:rPr>
          <w:b/>
          <w:w w:val="105"/>
          <w:sz w:val="27"/>
        </w:rPr>
        <w:t>section 35(2) </w:t>
      </w:r>
      <w:r>
        <w:rPr>
          <w:w w:val="105"/>
          <w:sz w:val="27"/>
        </w:rPr>
        <w:t>read with </w:t>
      </w:r>
      <w:r>
        <w:rPr>
          <w:b/>
          <w:w w:val="105"/>
          <w:sz w:val="27"/>
        </w:rPr>
        <w:t>section 42(2) of the Employment Act 1980.</w:t>
      </w:r>
    </w:p>
    <w:p>
      <w:pPr>
        <w:spacing w:before="18"/>
        <w:ind w:left="923" w:right="0" w:firstLine="0"/>
        <w:jc w:val="both"/>
        <w:rPr>
          <w:sz w:val="27"/>
        </w:rPr>
      </w:pPr>
      <w:r>
        <w:rPr>
          <w:b/>
          <w:w w:val="105"/>
          <w:sz w:val="27"/>
        </w:rPr>
        <w:t>Section 35 (2) </w:t>
      </w:r>
      <w:r>
        <w:rPr>
          <w:w w:val="105"/>
          <w:sz w:val="27"/>
        </w:rPr>
        <w:t>reads:</w:t>
      </w:r>
    </w:p>
    <w:p>
      <w:pPr>
        <w:pStyle w:val="BodyText"/>
        <w:spacing w:before="5"/>
        <w:rPr>
          <w:sz w:val="29"/>
        </w:rPr>
      </w:pPr>
    </w:p>
    <w:p>
      <w:pPr>
        <w:spacing w:before="0"/>
        <w:ind w:left="891" w:right="0" w:firstLine="0"/>
        <w:jc w:val="both"/>
        <w:rPr>
          <w:i/>
          <w:sz w:val="27"/>
        </w:rPr>
      </w:pPr>
      <w:r>
        <w:rPr>
          <w:w w:val="105"/>
          <w:sz w:val="27"/>
        </w:rPr>
        <w:t>" </w:t>
      </w:r>
      <w:r>
        <w:rPr>
          <w:i/>
          <w:w w:val="105"/>
          <w:sz w:val="27"/>
        </w:rPr>
        <w:t>(2) No employer shall terminate the services of an employee unfairly."</w:t>
      </w:r>
    </w:p>
    <w:p>
      <w:pPr>
        <w:spacing w:after="0"/>
        <w:jc w:val="both"/>
        <w:rPr>
          <w:sz w:val="27"/>
        </w:rPr>
        <w:sectPr>
          <w:pgSz w:w="11910" w:h="16850"/>
          <w:pgMar w:header="0" w:footer="1339" w:top="1340" w:bottom="1580" w:left="1420" w:right="580"/>
        </w:sectPr>
      </w:pPr>
    </w:p>
    <w:p>
      <w:pPr>
        <w:spacing w:before="73"/>
        <w:ind w:left="692" w:right="0" w:firstLine="0"/>
        <w:jc w:val="left"/>
        <w:rPr>
          <w:sz w:val="27"/>
        </w:rPr>
      </w:pPr>
      <w:r>
        <w:rPr>
          <w:b/>
          <w:w w:val="105"/>
          <w:sz w:val="27"/>
        </w:rPr>
        <w:t>Section 42 </w:t>
      </w:r>
      <w:r>
        <w:rPr>
          <w:w w:val="105"/>
          <w:sz w:val="27"/>
        </w:rPr>
        <w:t>reads:</w:t>
      </w:r>
    </w:p>
    <w:p>
      <w:pPr>
        <w:pStyle w:val="BodyText"/>
        <w:spacing w:before="7"/>
        <w:rPr>
          <w:sz w:val="27"/>
        </w:rPr>
      </w:pPr>
    </w:p>
    <w:p>
      <w:pPr>
        <w:pStyle w:val="ListParagraph"/>
        <w:numPr>
          <w:ilvl w:val="1"/>
          <w:numId w:val="1"/>
        </w:numPr>
        <w:tabs>
          <w:tab w:pos="1170" w:val="left" w:leader="none"/>
        </w:tabs>
        <w:spacing w:line="499" w:lineRule="auto" w:before="0" w:after="0"/>
        <w:ind w:left="1095" w:right="386" w:hanging="366"/>
        <w:jc w:val="both"/>
        <w:rPr>
          <w:i/>
          <w:sz w:val="27"/>
        </w:rPr>
      </w:pPr>
      <w:r>
        <w:rPr>
          <w:i/>
          <w:sz w:val="27"/>
        </w:rPr>
        <w:t>In the presentation of any complaint under this Part, the employee </w:t>
      </w:r>
      <w:r>
        <w:rPr>
          <w:i/>
          <w:sz w:val="27"/>
        </w:rPr>
        <w:t>shall be required to prove that at the time his services were  terminated that he was employee to whom Section</w:t>
      </w:r>
      <w:r>
        <w:rPr>
          <w:i/>
          <w:spacing w:val="25"/>
          <w:sz w:val="27"/>
        </w:rPr>
        <w:t> </w:t>
      </w:r>
      <w:r>
        <w:rPr>
          <w:i/>
          <w:sz w:val="27"/>
        </w:rPr>
        <w:t>35</w:t>
      </w:r>
    </w:p>
    <w:p>
      <w:pPr>
        <w:spacing w:line="299" w:lineRule="exact" w:before="0"/>
        <w:ind w:left="1069" w:right="0" w:firstLine="0"/>
        <w:jc w:val="left"/>
        <w:rPr>
          <w:i/>
          <w:sz w:val="27"/>
        </w:rPr>
      </w:pPr>
      <w:r>
        <w:rPr>
          <w:i/>
          <w:w w:val="105"/>
          <w:sz w:val="27"/>
        </w:rPr>
        <w:t>"(2) The services of an employee shall not be considered as having</w:t>
      </w:r>
    </w:p>
    <w:p>
      <w:pPr>
        <w:pStyle w:val="BodyText"/>
        <w:spacing w:before="10"/>
        <w:rPr>
          <w:i/>
          <w:sz w:val="20"/>
        </w:rPr>
      </w:pPr>
    </w:p>
    <w:p>
      <w:pPr>
        <w:spacing w:before="91"/>
        <w:ind w:left="1176" w:right="0" w:firstLine="0"/>
        <w:jc w:val="left"/>
        <w:rPr>
          <w:i/>
          <w:sz w:val="27"/>
        </w:rPr>
      </w:pPr>
      <w:r>
        <w:rPr>
          <w:i/>
          <w:w w:val="105"/>
          <w:sz w:val="27"/>
        </w:rPr>
        <w:t>been fairly terminated unless the </w:t>
      </w:r>
      <w:r>
        <w:rPr>
          <w:i/>
          <w:w w:val="105"/>
          <w:sz w:val="27"/>
          <w:u w:val="thick"/>
        </w:rPr>
        <w:t>employer</w:t>
      </w:r>
      <w:r>
        <w:rPr>
          <w:i/>
          <w:w w:val="105"/>
          <w:sz w:val="27"/>
        </w:rPr>
        <w:t> proves:</w:t>
      </w:r>
    </w:p>
    <w:p>
      <w:pPr>
        <w:pStyle w:val="BodyText"/>
        <w:spacing w:before="10"/>
        <w:rPr>
          <w:i/>
        </w:rPr>
      </w:pPr>
    </w:p>
    <w:p>
      <w:pPr>
        <w:pStyle w:val="ListParagraph"/>
        <w:numPr>
          <w:ilvl w:val="2"/>
          <w:numId w:val="1"/>
        </w:numPr>
        <w:tabs>
          <w:tab w:pos="1690" w:val="left" w:leader="none"/>
        </w:tabs>
        <w:spacing w:line="506" w:lineRule="auto" w:before="0" w:after="0"/>
        <w:ind w:left="1614" w:right="372" w:hanging="430"/>
        <w:jc w:val="left"/>
        <w:rPr>
          <w:i/>
          <w:sz w:val="27"/>
        </w:rPr>
      </w:pPr>
      <w:r>
        <w:rPr>
          <w:i/>
          <w:w w:val="105"/>
          <w:sz w:val="27"/>
        </w:rPr>
        <w:t>that the reason for the termination was one permitted by </w:t>
      </w:r>
      <w:r>
        <w:rPr>
          <w:i/>
          <w:w w:val="105"/>
          <w:sz w:val="27"/>
        </w:rPr>
        <w:t>Section 36;</w:t>
      </w:r>
      <w:r>
        <w:rPr>
          <w:i/>
          <w:spacing w:val="5"/>
          <w:w w:val="105"/>
          <w:sz w:val="27"/>
        </w:rPr>
        <w:t> </w:t>
      </w:r>
      <w:r>
        <w:rPr>
          <w:i/>
          <w:w w:val="105"/>
          <w:sz w:val="27"/>
        </w:rPr>
        <w:t>and</w:t>
      </w:r>
    </w:p>
    <w:p>
      <w:pPr>
        <w:pStyle w:val="ListParagraph"/>
        <w:numPr>
          <w:ilvl w:val="2"/>
          <w:numId w:val="1"/>
        </w:numPr>
        <w:tabs>
          <w:tab w:pos="1614" w:val="left" w:leader="none"/>
        </w:tabs>
        <w:spacing w:line="291" w:lineRule="exact" w:before="0" w:after="0"/>
        <w:ind w:left="1613" w:right="0" w:hanging="422"/>
        <w:jc w:val="left"/>
        <w:rPr>
          <w:i/>
          <w:sz w:val="27"/>
        </w:rPr>
      </w:pPr>
      <w:r>
        <w:rPr>
          <w:i/>
          <w:w w:val="105"/>
          <w:sz w:val="27"/>
        </w:rPr>
        <w:t>That, taking into account all the circumstances of the case,</w:t>
      </w:r>
      <w:r>
        <w:rPr>
          <w:i/>
          <w:spacing w:val="43"/>
          <w:w w:val="105"/>
          <w:sz w:val="27"/>
        </w:rPr>
        <w:t> </w:t>
      </w:r>
      <w:r>
        <w:rPr>
          <w:i/>
          <w:w w:val="105"/>
          <w:sz w:val="27"/>
        </w:rPr>
        <w:t>it</w:t>
      </w:r>
    </w:p>
    <w:p>
      <w:pPr>
        <w:pStyle w:val="BodyText"/>
        <w:spacing w:before="2"/>
        <w:rPr>
          <w:i/>
        </w:rPr>
      </w:pPr>
    </w:p>
    <w:p>
      <w:pPr>
        <w:spacing w:before="0"/>
        <w:ind w:left="1626" w:right="0" w:firstLine="0"/>
        <w:jc w:val="left"/>
        <w:rPr>
          <w:i/>
          <w:sz w:val="27"/>
        </w:rPr>
      </w:pPr>
      <w:r>
        <w:rPr>
          <w:i/>
          <w:w w:val="105"/>
          <w:sz w:val="27"/>
        </w:rPr>
        <w:t>was reasonable to terminate the services of the employee.</w:t>
      </w:r>
    </w:p>
    <w:p>
      <w:pPr>
        <w:pStyle w:val="BodyText"/>
        <w:rPr>
          <w:i/>
          <w:sz w:val="30"/>
        </w:rPr>
      </w:pPr>
    </w:p>
    <w:p>
      <w:pPr>
        <w:pStyle w:val="BodyText"/>
        <w:rPr>
          <w:i/>
          <w:sz w:val="30"/>
        </w:rPr>
      </w:pPr>
    </w:p>
    <w:p>
      <w:pPr>
        <w:pStyle w:val="BodyText"/>
        <w:spacing w:before="3"/>
        <w:rPr>
          <w:i/>
          <w:sz w:val="25"/>
        </w:rPr>
      </w:pPr>
    </w:p>
    <w:p>
      <w:pPr>
        <w:pStyle w:val="ListParagraph"/>
        <w:numPr>
          <w:ilvl w:val="0"/>
          <w:numId w:val="1"/>
        </w:numPr>
        <w:tabs>
          <w:tab w:pos="833" w:val="left" w:leader="none"/>
        </w:tabs>
        <w:spacing w:line="240" w:lineRule="auto" w:before="0" w:after="0"/>
        <w:ind w:left="832" w:right="0" w:hanging="625"/>
        <w:jc w:val="left"/>
        <w:rPr>
          <w:sz w:val="27"/>
        </w:rPr>
      </w:pPr>
      <w:r>
        <w:rPr>
          <w:w w:val="105"/>
          <w:sz w:val="27"/>
        </w:rPr>
        <w:t>The import of these sections are</w:t>
      </w:r>
      <w:r>
        <w:rPr>
          <w:spacing w:val="3"/>
          <w:w w:val="105"/>
          <w:sz w:val="27"/>
        </w:rPr>
        <w:t> </w:t>
      </w:r>
      <w:r>
        <w:rPr>
          <w:w w:val="105"/>
          <w:sz w:val="27"/>
        </w:rPr>
        <w:t>that:</w:t>
      </w:r>
    </w:p>
    <w:p>
      <w:pPr>
        <w:pStyle w:val="BodyText"/>
        <w:spacing w:before="2"/>
      </w:pPr>
    </w:p>
    <w:p>
      <w:pPr>
        <w:pStyle w:val="ListParagraph"/>
        <w:numPr>
          <w:ilvl w:val="0"/>
          <w:numId w:val="2"/>
        </w:numPr>
        <w:tabs>
          <w:tab w:pos="1215" w:val="left" w:leader="none"/>
        </w:tabs>
        <w:spacing w:line="496" w:lineRule="auto" w:before="0" w:after="0"/>
        <w:ind w:left="1348" w:right="326" w:hanging="519"/>
        <w:jc w:val="both"/>
        <w:rPr>
          <w:sz w:val="27"/>
        </w:rPr>
      </w:pPr>
      <w:r>
        <w:rPr>
          <w:w w:val="105"/>
          <w:sz w:val="27"/>
        </w:rPr>
        <w:t>An employee who seeks to claim unfair dismissal merely has to prove that he is an employee to whom </w:t>
      </w:r>
      <w:r>
        <w:rPr>
          <w:b/>
          <w:w w:val="105"/>
          <w:sz w:val="27"/>
        </w:rPr>
        <w:t>Section 35 </w:t>
      </w:r>
      <w:r>
        <w:rPr>
          <w:w w:val="105"/>
          <w:sz w:val="27"/>
        </w:rPr>
        <w:t>of the </w:t>
      </w:r>
      <w:r>
        <w:rPr>
          <w:b/>
          <w:w w:val="105"/>
          <w:sz w:val="27"/>
        </w:rPr>
        <w:t>Employment</w:t>
      </w:r>
      <w:r>
        <w:rPr>
          <w:b/>
          <w:spacing w:val="6"/>
          <w:w w:val="105"/>
          <w:sz w:val="27"/>
        </w:rPr>
        <w:t> </w:t>
      </w:r>
      <w:r>
        <w:rPr>
          <w:b/>
          <w:w w:val="105"/>
          <w:sz w:val="27"/>
        </w:rPr>
        <w:t>Act</w:t>
      </w:r>
      <w:r>
        <w:rPr>
          <w:b/>
          <w:spacing w:val="-20"/>
          <w:w w:val="105"/>
          <w:sz w:val="27"/>
        </w:rPr>
        <w:t> </w:t>
      </w:r>
      <w:r>
        <w:rPr>
          <w:b/>
          <w:w w:val="105"/>
          <w:sz w:val="27"/>
        </w:rPr>
        <w:t>1980</w:t>
      </w:r>
      <w:r>
        <w:rPr>
          <w:b/>
          <w:spacing w:val="-14"/>
          <w:w w:val="105"/>
          <w:sz w:val="27"/>
        </w:rPr>
        <w:t> </w:t>
      </w:r>
      <w:r>
        <w:rPr>
          <w:w w:val="105"/>
          <w:sz w:val="27"/>
        </w:rPr>
        <w:t>applies</w:t>
      </w:r>
      <w:r>
        <w:rPr>
          <w:spacing w:val="-3"/>
          <w:w w:val="105"/>
          <w:sz w:val="27"/>
        </w:rPr>
        <w:t> </w:t>
      </w:r>
      <w:r>
        <w:rPr>
          <w:w w:val="105"/>
          <w:sz w:val="27"/>
        </w:rPr>
        <w:t>and</w:t>
      </w:r>
      <w:r>
        <w:rPr>
          <w:spacing w:val="-21"/>
          <w:w w:val="105"/>
          <w:sz w:val="27"/>
        </w:rPr>
        <w:t> </w:t>
      </w:r>
      <w:r>
        <w:rPr>
          <w:w w:val="105"/>
          <w:sz w:val="27"/>
        </w:rPr>
        <w:t>thus</w:t>
      </w:r>
      <w:r>
        <w:rPr>
          <w:spacing w:val="-13"/>
          <w:w w:val="105"/>
          <w:sz w:val="27"/>
        </w:rPr>
        <w:t> </w:t>
      </w:r>
      <w:r>
        <w:rPr>
          <w:w w:val="105"/>
          <w:sz w:val="27"/>
        </w:rPr>
        <w:t>his</w:t>
      </w:r>
      <w:r>
        <w:rPr>
          <w:spacing w:val="-13"/>
          <w:w w:val="105"/>
          <w:sz w:val="27"/>
        </w:rPr>
        <w:t> </w:t>
      </w:r>
      <w:r>
        <w:rPr>
          <w:w w:val="105"/>
          <w:sz w:val="27"/>
        </w:rPr>
        <w:t>services</w:t>
      </w:r>
      <w:r>
        <w:rPr>
          <w:spacing w:val="-4"/>
          <w:w w:val="105"/>
          <w:sz w:val="27"/>
        </w:rPr>
        <w:t> </w:t>
      </w:r>
      <w:r>
        <w:rPr>
          <w:w w:val="105"/>
          <w:sz w:val="27"/>
        </w:rPr>
        <w:t>are</w:t>
      </w:r>
      <w:r>
        <w:rPr>
          <w:spacing w:val="-19"/>
          <w:w w:val="105"/>
          <w:sz w:val="27"/>
        </w:rPr>
        <w:t> </w:t>
      </w:r>
      <w:r>
        <w:rPr>
          <w:w w:val="105"/>
          <w:sz w:val="27"/>
        </w:rPr>
        <w:t>not</w:t>
      </w:r>
      <w:r>
        <w:rPr>
          <w:spacing w:val="-14"/>
          <w:w w:val="105"/>
          <w:sz w:val="27"/>
        </w:rPr>
        <w:t> </w:t>
      </w:r>
      <w:r>
        <w:rPr>
          <w:w w:val="105"/>
          <w:sz w:val="27"/>
        </w:rPr>
        <w:t>to</w:t>
      </w:r>
      <w:r>
        <w:rPr>
          <w:spacing w:val="-20"/>
          <w:w w:val="105"/>
          <w:sz w:val="27"/>
        </w:rPr>
        <w:t> </w:t>
      </w:r>
      <w:r>
        <w:rPr>
          <w:w w:val="105"/>
          <w:sz w:val="27"/>
        </w:rPr>
        <w:t>be terminated</w:t>
      </w:r>
      <w:r>
        <w:rPr>
          <w:spacing w:val="11"/>
          <w:w w:val="105"/>
          <w:sz w:val="27"/>
        </w:rPr>
        <w:t> </w:t>
      </w:r>
      <w:r>
        <w:rPr>
          <w:w w:val="105"/>
          <w:sz w:val="27"/>
        </w:rPr>
        <w:t>unfairly;</w:t>
      </w:r>
    </w:p>
    <w:p>
      <w:pPr>
        <w:pStyle w:val="ListParagraph"/>
        <w:numPr>
          <w:ilvl w:val="0"/>
          <w:numId w:val="2"/>
        </w:numPr>
        <w:tabs>
          <w:tab w:pos="1317" w:val="left" w:leader="none"/>
        </w:tabs>
        <w:spacing w:line="496" w:lineRule="auto" w:before="0" w:after="0"/>
        <w:ind w:left="1355" w:right="325" w:hanging="511"/>
        <w:jc w:val="both"/>
        <w:rPr>
          <w:sz w:val="27"/>
        </w:rPr>
      </w:pPr>
      <w:r>
        <w:rPr>
          <w:w w:val="105"/>
          <w:sz w:val="27"/>
        </w:rPr>
        <w:t>That</w:t>
      </w:r>
      <w:r>
        <w:rPr>
          <w:spacing w:val="-8"/>
          <w:w w:val="105"/>
          <w:sz w:val="27"/>
        </w:rPr>
        <w:t> </w:t>
      </w:r>
      <w:r>
        <w:rPr>
          <w:w w:val="105"/>
          <w:sz w:val="27"/>
        </w:rPr>
        <w:t>once</w:t>
      </w:r>
      <w:r>
        <w:rPr>
          <w:spacing w:val="-11"/>
          <w:w w:val="105"/>
          <w:sz w:val="27"/>
        </w:rPr>
        <w:t> </w:t>
      </w:r>
      <w:r>
        <w:rPr>
          <w:w w:val="105"/>
          <w:sz w:val="27"/>
        </w:rPr>
        <w:t>he</w:t>
      </w:r>
      <w:r>
        <w:rPr>
          <w:spacing w:val="-16"/>
          <w:w w:val="105"/>
          <w:sz w:val="27"/>
        </w:rPr>
        <w:t> </w:t>
      </w:r>
      <w:r>
        <w:rPr>
          <w:w w:val="105"/>
          <w:sz w:val="27"/>
        </w:rPr>
        <w:t>establishes</w:t>
      </w:r>
      <w:r>
        <w:rPr>
          <w:spacing w:val="2"/>
          <w:w w:val="105"/>
          <w:sz w:val="27"/>
        </w:rPr>
        <w:t> </w:t>
      </w:r>
      <w:r>
        <w:rPr>
          <w:w w:val="105"/>
          <w:sz w:val="27"/>
        </w:rPr>
        <w:t>that</w:t>
      </w:r>
      <w:r>
        <w:rPr>
          <w:spacing w:val="-4"/>
          <w:w w:val="105"/>
          <w:sz w:val="27"/>
        </w:rPr>
        <w:t> </w:t>
      </w:r>
      <w:r>
        <w:rPr>
          <w:w w:val="105"/>
          <w:sz w:val="27"/>
        </w:rPr>
        <w:t>fact</w:t>
      </w:r>
      <w:r>
        <w:rPr>
          <w:spacing w:val="-7"/>
          <w:w w:val="105"/>
          <w:sz w:val="27"/>
        </w:rPr>
        <w:t> </w:t>
      </w:r>
      <w:r>
        <w:rPr>
          <w:w w:val="105"/>
          <w:sz w:val="27"/>
        </w:rPr>
        <w:t>(or</w:t>
      </w:r>
      <w:r>
        <w:rPr>
          <w:spacing w:val="-13"/>
          <w:w w:val="105"/>
          <w:sz w:val="27"/>
        </w:rPr>
        <w:t> </w:t>
      </w:r>
      <w:r>
        <w:rPr>
          <w:w w:val="105"/>
          <w:sz w:val="27"/>
        </w:rPr>
        <w:t>it</w:t>
      </w:r>
      <w:r>
        <w:rPr>
          <w:spacing w:val="-10"/>
          <w:w w:val="105"/>
          <w:sz w:val="27"/>
        </w:rPr>
        <w:t> </w:t>
      </w:r>
      <w:r>
        <w:rPr>
          <w:w w:val="105"/>
          <w:sz w:val="27"/>
        </w:rPr>
        <w:t>is</w:t>
      </w:r>
      <w:r>
        <w:rPr>
          <w:spacing w:val="-10"/>
          <w:w w:val="105"/>
          <w:sz w:val="27"/>
        </w:rPr>
        <w:t> </w:t>
      </w:r>
      <w:r>
        <w:rPr>
          <w:w w:val="105"/>
          <w:sz w:val="27"/>
        </w:rPr>
        <w:t>admitted),</w:t>
      </w:r>
      <w:r>
        <w:rPr>
          <w:spacing w:val="2"/>
          <w:w w:val="105"/>
          <w:sz w:val="27"/>
        </w:rPr>
        <w:t> </w:t>
      </w:r>
      <w:r>
        <w:rPr>
          <w:w w:val="105"/>
          <w:sz w:val="27"/>
        </w:rPr>
        <w:t>then</w:t>
      </w:r>
      <w:r>
        <w:rPr>
          <w:spacing w:val="-20"/>
          <w:w w:val="105"/>
          <w:sz w:val="27"/>
        </w:rPr>
        <w:t> </w:t>
      </w:r>
      <w:r>
        <w:rPr>
          <w:w w:val="105"/>
          <w:sz w:val="27"/>
        </w:rPr>
        <w:t>the</w:t>
      </w:r>
      <w:r>
        <w:rPr>
          <w:spacing w:val="-12"/>
          <w:w w:val="105"/>
          <w:sz w:val="27"/>
        </w:rPr>
        <w:t> </w:t>
      </w:r>
      <w:r>
        <w:rPr>
          <w:w w:val="105"/>
          <w:sz w:val="27"/>
        </w:rPr>
        <w:t>onus shifts to the employer to prove that the dismissal is one that is permitted by </w:t>
      </w:r>
      <w:r>
        <w:rPr>
          <w:b/>
          <w:w w:val="105"/>
          <w:sz w:val="27"/>
        </w:rPr>
        <w:t>Section 36 </w:t>
      </w:r>
      <w:r>
        <w:rPr>
          <w:w w:val="105"/>
          <w:sz w:val="27"/>
        </w:rPr>
        <w:t>of the Act, and that in the circumstances of the case, it was reasonable to terminate his</w:t>
      </w:r>
      <w:r>
        <w:rPr>
          <w:spacing w:val="-44"/>
          <w:w w:val="105"/>
          <w:sz w:val="27"/>
        </w:rPr>
        <w:t> </w:t>
      </w:r>
      <w:r>
        <w:rPr>
          <w:w w:val="105"/>
          <w:sz w:val="27"/>
        </w:rPr>
        <w:t>service.</w:t>
      </w:r>
    </w:p>
    <w:p>
      <w:pPr>
        <w:spacing w:after="0" w:line="496" w:lineRule="auto"/>
        <w:jc w:val="both"/>
        <w:rPr>
          <w:sz w:val="27"/>
        </w:rPr>
        <w:sectPr>
          <w:pgSz w:w="11910" w:h="16850"/>
          <w:pgMar w:header="0" w:footer="1339" w:top="1360" w:bottom="1580" w:left="1420" w:right="580"/>
        </w:sectPr>
      </w:pPr>
    </w:p>
    <w:p>
      <w:pPr>
        <w:pStyle w:val="ListParagraph"/>
        <w:numPr>
          <w:ilvl w:val="0"/>
          <w:numId w:val="1"/>
        </w:numPr>
        <w:tabs>
          <w:tab w:pos="994" w:val="left" w:leader="none"/>
        </w:tabs>
        <w:spacing w:line="477" w:lineRule="auto" w:before="68" w:after="0"/>
        <w:ind w:left="980" w:right="273" w:hanging="731"/>
        <w:jc w:val="both"/>
        <w:rPr>
          <w:sz w:val="28"/>
        </w:rPr>
      </w:pPr>
      <w:r>
        <w:rPr>
          <w:sz w:val="28"/>
        </w:rPr>
        <w:t>In the matter at hand, it is not disputed that the applicant was an employee to whom </w:t>
      </w:r>
      <w:r>
        <w:rPr>
          <w:b/>
          <w:sz w:val="27"/>
        </w:rPr>
        <w:t>Section 35 </w:t>
      </w:r>
      <w:r>
        <w:rPr>
          <w:sz w:val="28"/>
        </w:rPr>
        <w:t>of the Act applies. The onus thus shifted to the respondents to show that the dismissal of the applicant was both substantively and procedurally fair. It is therefore not for the applicant to make a </w:t>
      </w:r>
      <w:r>
        <w:rPr>
          <w:i/>
          <w:sz w:val="27"/>
        </w:rPr>
        <w:t>prima facie </w:t>
      </w:r>
      <w:r>
        <w:rPr>
          <w:sz w:val="28"/>
        </w:rPr>
        <w:t>case, as the case may</w:t>
      </w:r>
      <w:r>
        <w:rPr>
          <w:spacing w:val="25"/>
          <w:sz w:val="28"/>
        </w:rPr>
        <w:t> </w:t>
      </w:r>
      <w:r>
        <w:rPr>
          <w:sz w:val="28"/>
        </w:rPr>
        <w:t>be.</w:t>
      </w:r>
    </w:p>
    <w:p>
      <w:pPr>
        <w:pStyle w:val="BodyText"/>
        <w:rPr>
          <w:sz w:val="30"/>
        </w:rPr>
      </w:pPr>
    </w:p>
    <w:p>
      <w:pPr>
        <w:pStyle w:val="BodyText"/>
        <w:spacing w:before="3"/>
        <w:rPr>
          <w:sz w:val="26"/>
        </w:rPr>
      </w:pPr>
    </w:p>
    <w:p>
      <w:pPr>
        <w:pStyle w:val="ListParagraph"/>
        <w:numPr>
          <w:ilvl w:val="0"/>
          <w:numId w:val="1"/>
        </w:numPr>
        <w:tabs>
          <w:tab w:pos="985" w:val="left" w:leader="none"/>
        </w:tabs>
        <w:spacing w:line="482" w:lineRule="auto" w:before="1" w:after="0"/>
        <w:ind w:left="1000" w:right="247" w:hanging="722"/>
        <w:jc w:val="both"/>
        <w:rPr>
          <w:b/>
          <w:sz w:val="28"/>
        </w:rPr>
      </w:pPr>
      <w:r>
        <w:rPr>
          <w:sz w:val="28"/>
        </w:rPr>
        <w:t>This is not to say that in a deserving case absolution can never be granted in a labour matter. Where an applicant before this court makes an admission· in his evidence in chief or under cross­ examination, of the commission of the offence for which he was dismissed, then the respondent would have discharged the burden of proof resting on it on terms of the law. </w:t>
      </w:r>
      <w:r>
        <w:rPr>
          <w:b/>
          <w:sz w:val="27"/>
        </w:rPr>
        <w:t>(Bhekithemba Mamba of Max Enterprises (Pty) Ltd (Supra) of Petros Da Silva, Plascon Paints Swaziland IC Case No.</w:t>
      </w:r>
      <w:r>
        <w:rPr>
          <w:b/>
          <w:spacing w:val="30"/>
          <w:sz w:val="27"/>
        </w:rPr>
        <w:t> </w:t>
      </w:r>
      <w:r>
        <w:rPr>
          <w:b/>
          <w:sz w:val="27"/>
        </w:rPr>
        <w:t>102/02).</w:t>
      </w:r>
    </w:p>
    <w:p>
      <w:pPr>
        <w:pStyle w:val="BodyText"/>
        <w:rPr>
          <w:b/>
          <w:sz w:val="30"/>
        </w:rPr>
      </w:pPr>
    </w:p>
    <w:p>
      <w:pPr>
        <w:pStyle w:val="BodyText"/>
        <w:spacing w:before="9"/>
        <w:rPr>
          <w:b/>
          <w:sz w:val="26"/>
        </w:rPr>
      </w:pPr>
    </w:p>
    <w:p>
      <w:pPr>
        <w:pStyle w:val="ListParagraph"/>
        <w:numPr>
          <w:ilvl w:val="0"/>
          <w:numId w:val="1"/>
        </w:numPr>
        <w:tabs>
          <w:tab w:pos="1062" w:val="left" w:leader="none"/>
        </w:tabs>
        <w:spacing w:line="477" w:lineRule="auto" w:before="0" w:after="0"/>
        <w:ind w:left="1017" w:right="237" w:hanging="717"/>
        <w:jc w:val="both"/>
        <w:rPr>
          <w:sz w:val="28"/>
        </w:rPr>
      </w:pPr>
      <w:r>
        <w:rPr>
          <w:sz w:val="28"/>
        </w:rPr>
        <w:t>However, that would still not be the end of the matter where the applicant has claimed procedural unfairness in his dismissal, as is the case in this matter. The respondent would be expected to prove procedural fairness to the court. The respondent would still have to discharge the burden of proof resting on it in terms of </w:t>
      </w:r>
      <w:r>
        <w:rPr>
          <w:b/>
          <w:sz w:val="27"/>
        </w:rPr>
        <w:t>Section  42(2) </w:t>
      </w:r>
      <w:r>
        <w:rPr>
          <w:sz w:val="28"/>
        </w:rPr>
        <w:t>of our </w:t>
      </w:r>
      <w:r>
        <w:rPr>
          <w:b/>
          <w:sz w:val="27"/>
        </w:rPr>
        <w:t>Employment Act. </w:t>
      </w:r>
      <w:r>
        <w:rPr>
          <w:sz w:val="28"/>
        </w:rPr>
        <w:t>Again, if the respondent was able to</w:t>
      </w:r>
      <w:r>
        <w:rPr>
          <w:spacing w:val="60"/>
          <w:sz w:val="28"/>
        </w:rPr>
        <w:t> </w:t>
      </w:r>
      <w:r>
        <w:rPr>
          <w:sz w:val="28"/>
        </w:rPr>
        <w:t>illicit</w:t>
      </w:r>
    </w:p>
    <w:p>
      <w:pPr>
        <w:spacing w:after="0" w:line="477" w:lineRule="auto"/>
        <w:jc w:val="both"/>
        <w:rPr>
          <w:sz w:val="28"/>
        </w:rPr>
        <w:sectPr>
          <w:pgSz w:w="11910" w:h="16850"/>
          <w:pgMar w:header="0" w:footer="1339" w:top="1320" w:bottom="1600" w:left="1420" w:right="580"/>
        </w:sectPr>
      </w:pPr>
    </w:p>
    <w:p>
      <w:pPr>
        <w:pStyle w:val="BodyText"/>
        <w:spacing w:line="475" w:lineRule="auto" w:before="78"/>
        <w:ind w:left="1072" w:right="180" w:hanging="8"/>
        <w:jc w:val="both"/>
      </w:pPr>
      <w:r>
        <w:rPr/>
        <w:t>through cross-examination and/or any other means, an admission that a disciplinary hearing was held fairly in terms of procedure then the respondent would be entitled to an absolution order provided the substantive fairness of the decision has been established as</w:t>
      </w:r>
      <w:r>
        <w:rPr>
          <w:spacing w:val="-12"/>
        </w:rPr>
        <w:t> </w:t>
      </w:r>
      <w:r>
        <w:rPr/>
        <w:t>well.</w:t>
      </w:r>
    </w:p>
    <w:p>
      <w:pPr>
        <w:pStyle w:val="BodyText"/>
        <w:rPr>
          <w:sz w:val="30"/>
        </w:rPr>
      </w:pPr>
    </w:p>
    <w:p>
      <w:pPr>
        <w:pStyle w:val="BodyText"/>
        <w:spacing w:before="8"/>
        <w:rPr>
          <w:sz w:val="26"/>
        </w:rPr>
      </w:pPr>
    </w:p>
    <w:p>
      <w:pPr>
        <w:pStyle w:val="ListParagraph"/>
        <w:numPr>
          <w:ilvl w:val="0"/>
          <w:numId w:val="1"/>
        </w:numPr>
        <w:tabs>
          <w:tab w:pos="1088" w:val="left" w:leader="none"/>
        </w:tabs>
        <w:spacing w:line="477" w:lineRule="auto" w:before="1" w:after="0"/>
        <w:ind w:left="1087" w:right="172" w:hanging="715"/>
        <w:jc w:val="both"/>
        <w:rPr>
          <w:sz w:val="28"/>
        </w:rPr>
      </w:pPr>
      <w:r>
        <w:rPr>
          <w:sz w:val="28"/>
        </w:rPr>
        <w:t>In the current matter, the respondent has not, in our view, made a case for absolution. The evidence before us on the substantive fairness of applicant's dismissal is that</w:t>
      </w:r>
      <w:r>
        <w:rPr>
          <w:spacing w:val="5"/>
          <w:sz w:val="28"/>
        </w:rPr>
        <w:t> </w:t>
      </w:r>
      <w:r>
        <w:rPr>
          <w:sz w:val="28"/>
        </w:rPr>
        <w:t>-</w:t>
      </w:r>
    </w:p>
    <w:p>
      <w:pPr>
        <w:pStyle w:val="ListParagraph"/>
        <w:numPr>
          <w:ilvl w:val="0"/>
          <w:numId w:val="3"/>
        </w:numPr>
        <w:tabs>
          <w:tab w:pos="1515" w:val="left" w:leader="none"/>
        </w:tabs>
        <w:spacing w:line="477" w:lineRule="auto" w:before="18" w:after="0"/>
        <w:ind w:left="1509" w:right="164" w:hanging="418"/>
        <w:jc w:val="both"/>
        <w:rPr>
          <w:sz w:val="28"/>
        </w:rPr>
      </w:pPr>
      <w:r>
        <w:rPr>
          <w:sz w:val="28"/>
        </w:rPr>
        <w:t>applicant was called to a disciplinary hearing to face the three (3) charges - theft of a refrigerator; unauthorised borrowing of Hlathikhulu Government property; and, refusal to carry out  a lawful instruction</w:t>
      </w:r>
      <w:r>
        <w:rPr>
          <w:spacing w:val="13"/>
          <w:sz w:val="28"/>
        </w:rPr>
        <w:t> </w:t>
      </w:r>
      <w:r>
        <w:rPr>
          <w:sz w:val="28"/>
        </w:rPr>
        <w:t>(insubordination).</w:t>
      </w:r>
    </w:p>
    <w:p>
      <w:pPr>
        <w:pStyle w:val="ListParagraph"/>
        <w:numPr>
          <w:ilvl w:val="0"/>
          <w:numId w:val="3"/>
        </w:numPr>
        <w:tabs>
          <w:tab w:pos="1512" w:val="left" w:leader="none"/>
        </w:tabs>
        <w:spacing w:line="472" w:lineRule="auto" w:before="26" w:after="0"/>
        <w:ind w:left="1512" w:right="148" w:hanging="421"/>
        <w:jc w:val="both"/>
        <w:rPr>
          <w:sz w:val="28"/>
        </w:rPr>
      </w:pPr>
      <w:r>
        <w:rPr>
          <w:sz w:val="28"/>
        </w:rPr>
        <w:t>The charge of theft was withdrawn, leaving the applicant facing the unauthorised borrowing charge and the insubordination charge.</w:t>
      </w:r>
    </w:p>
    <w:p>
      <w:pPr>
        <w:pStyle w:val="ListParagraph"/>
        <w:numPr>
          <w:ilvl w:val="0"/>
          <w:numId w:val="3"/>
        </w:numPr>
        <w:tabs>
          <w:tab w:pos="1517" w:val="left" w:leader="none"/>
        </w:tabs>
        <w:spacing w:line="472" w:lineRule="auto" w:before="44" w:after="0"/>
        <w:ind w:left="1521" w:right="172" w:hanging="430"/>
        <w:jc w:val="both"/>
        <w:rPr>
          <w:sz w:val="28"/>
        </w:rPr>
      </w:pPr>
      <w:r>
        <w:rPr>
          <w:sz w:val="28"/>
        </w:rPr>
        <w:t>He denied both charges and claimed to have been authorised by a nurse in charge of the refrigerator to take</w:t>
      </w:r>
      <w:r>
        <w:rPr>
          <w:spacing w:val="-6"/>
          <w:sz w:val="28"/>
        </w:rPr>
        <w:t> </w:t>
      </w:r>
      <w:r>
        <w:rPr>
          <w:sz w:val="28"/>
        </w:rPr>
        <w:t>it.</w:t>
      </w:r>
    </w:p>
    <w:p>
      <w:pPr>
        <w:pStyle w:val="ListParagraph"/>
        <w:numPr>
          <w:ilvl w:val="0"/>
          <w:numId w:val="3"/>
        </w:numPr>
        <w:tabs>
          <w:tab w:pos="1510" w:val="left" w:leader="none"/>
        </w:tabs>
        <w:spacing w:line="475" w:lineRule="auto" w:before="37" w:after="0"/>
        <w:ind w:left="1506" w:right="165" w:hanging="415"/>
        <w:jc w:val="both"/>
        <w:rPr>
          <w:sz w:val="28"/>
        </w:rPr>
      </w:pPr>
      <w:r>
        <w:rPr>
          <w:sz w:val="28"/>
        </w:rPr>
        <w:t>He also claimed that he had not been instructed to return the fridge and that the person who allegedly told him to do so was not his supervisor but his equal in terms of ranking within the</w:t>
      </w:r>
      <w:r>
        <w:rPr>
          <w:spacing w:val="-53"/>
          <w:sz w:val="28"/>
        </w:rPr>
        <w:t> </w:t>
      </w:r>
      <w:r>
        <w:rPr>
          <w:sz w:val="28"/>
        </w:rPr>
        <w:t>hospital.</w:t>
      </w:r>
    </w:p>
    <w:p>
      <w:pPr>
        <w:spacing w:after="0" w:line="475" w:lineRule="auto"/>
        <w:jc w:val="both"/>
        <w:rPr>
          <w:sz w:val="28"/>
        </w:rPr>
        <w:sectPr>
          <w:pgSz w:w="11910" w:h="16850"/>
          <w:pgMar w:header="0" w:footer="1339" w:top="1360" w:bottom="1540" w:left="1420" w:right="580"/>
        </w:sectPr>
      </w:pPr>
    </w:p>
    <w:p>
      <w:pPr>
        <w:pStyle w:val="ListParagraph"/>
        <w:numPr>
          <w:ilvl w:val="0"/>
          <w:numId w:val="3"/>
        </w:numPr>
        <w:tabs>
          <w:tab w:pos="1541" w:val="left" w:leader="none"/>
        </w:tabs>
        <w:spacing w:line="477" w:lineRule="auto" w:before="69" w:after="0"/>
        <w:ind w:left="1535" w:right="140" w:hanging="423"/>
        <w:jc w:val="both"/>
        <w:rPr>
          <w:sz w:val="28"/>
        </w:rPr>
      </w:pPr>
      <w:r>
        <w:rPr>
          <w:sz w:val="28"/>
        </w:rPr>
        <w:t>On procedural fairness, he stated that he was invited to the hearing and was the only one who gave any evidence and that he was asked questions by the</w:t>
      </w:r>
      <w:r>
        <w:rPr>
          <w:spacing w:val="-59"/>
          <w:sz w:val="28"/>
        </w:rPr>
        <w:t> </w:t>
      </w:r>
      <w:r>
        <w:rPr>
          <w:sz w:val="28"/>
        </w:rPr>
        <w:t>panel.</w:t>
      </w:r>
    </w:p>
    <w:p>
      <w:pPr>
        <w:pStyle w:val="ListParagraph"/>
        <w:numPr>
          <w:ilvl w:val="0"/>
          <w:numId w:val="3"/>
        </w:numPr>
        <w:tabs>
          <w:tab w:pos="1546" w:val="left" w:leader="none"/>
        </w:tabs>
        <w:spacing w:line="477" w:lineRule="auto" w:before="18" w:after="0"/>
        <w:ind w:left="1556" w:right="147" w:hanging="429"/>
        <w:jc w:val="both"/>
        <w:rPr>
          <w:sz w:val="28"/>
        </w:rPr>
      </w:pPr>
      <w:r>
        <w:rPr>
          <w:sz w:val="28"/>
        </w:rPr>
        <w:t>He testified that the respondents never brought in any witnesses to the hearing, so he never got the opportunity to confront</w:t>
      </w:r>
      <w:r>
        <w:rPr>
          <w:spacing w:val="-48"/>
          <w:sz w:val="28"/>
        </w:rPr>
        <w:t> </w:t>
      </w:r>
      <w:r>
        <w:rPr>
          <w:sz w:val="28"/>
        </w:rPr>
        <w:t>them.</w:t>
      </w:r>
    </w:p>
    <w:p>
      <w:pPr>
        <w:pStyle w:val="BodyText"/>
        <w:rPr>
          <w:sz w:val="30"/>
        </w:rPr>
      </w:pPr>
    </w:p>
    <w:p>
      <w:pPr>
        <w:pStyle w:val="BodyText"/>
        <w:rPr>
          <w:sz w:val="26"/>
        </w:rPr>
      </w:pPr>
    </w:p>
    <w:p>
      <w:pPr>
        <w:pStyle w:val="ListParagraph"/>
        <w:numPr>
          <w:ilvl w:val="0"/>
          <w:numId w:val="1"/>
        </w:numPr>
        <w:tabs>
          <w:tab w:pos="1093" w:val="left" w:leader="none"/>
        </w:tabs>
        <w:spacing w:line="477" w:lineRule="auto" w:before="0" w:after="0"/>
        <w:ind w:left="1130" w:right="110" w:hanging="707"/>
        <w:jc w:val="both"/>
        <w:rPr>
          <w:sz w:val="28"/>
        </w:rPr>
      </w:pPr>
      <w:r>
        <w:rPr>
          <w:sz w:val="28"/>
        </w:rPr>
        <w:t>The issues raised by applicant in our view go to the substantive and procedural nature of his dismissal. If indeed he had been authorised to take the refrigerator by its custodian, can it be said that he had borrowed it without authority? Can it be said that he failed to follow instructions or that he was insubordinate if there was never an instruction given to bring back the refrigerator? The answer to these questions lie in the evidence to be brought by the respondents who have the burden to show the court, on a balance of probabilities, that there had indeed been an instruction to the applicant to bring back the fridge and that he had not been authorised to take it, in the first place.</w:t>
      </w:r>
    </w:p>
    <w:p>
      <w:pPr>
        <w:pStyle w:val="BodyText"/>
        <w:rPr>
          <w:sz w:val="30"/>
        </w:rPr>
      </w:pPr>
    </w:p>
    <w:p>
      <w:pPr>
        <w:pStyle w:val="BodyText"/>
        <w:spacing w:before="11"/>
        <w:rPr>
          <w:sz w:val="26"/>
        </w:rPr>
      </w:pPr>
    </w:p>
    <w:p>
      <w:pPr>
        <w:pStyle w:val="ListParagraph"/>
        <w:numPr>
          <w:ilvl w:val="0"/>
          <w:numId w:val="1"/>
        </w:numPr>
        <w:tabs>
          <w:tab w:pos="1149" w:val="left" w:leader="none"/>
        </w:tabs>
        <w:spacing w:line="475" w:lineRule="auto" w:before="0" w:after="0"/>
        <w:ind w:left="1145" w:right="102" w:hanging="708"/>
        <w:jc w:val="both"/>
        <w:rPr>
          <w:sz w:val="28"/>
        </w:rPr>
      </w:pPr>
      <w:r>
        <w:rPr>
          <w:sz w:val="28"/>
        </w:rPr>
        <w:t>From the evidence before the court, the applicant has also raised issue with the procedure taken at his disciplinary hearing. The onus is on the respondents to show the court that this disciplinary</w:t>
      </w:r>
      <w:r>
        <w:rPr>
          <w:spacing w:val="-36"/>
          <w:sz w:val="28"/>
        </w:rPr>
        <w:t> </w:t>
      </w:r>
      <w:r>
        <w:rPr>
          <w:sz w:val="28"/>
        </w:rPr>
        <w:t>hearing</w:t>
      </w:r>
    </w:p>
    <w:p>
      <w:pPr>
        <w:spacing w:after="0" w:line="475" w:lineRule="auto"/>
        <w:jc w:val="both"/>
        <w:rPr>
          <w:sz w:val="28"/>
        </w:rPr>
        <w:sectPr>
          <w:pgSz w:w="11910" w:h="16850"/>
          <w:pgMar w:header="0" w:footer="1339" w:top="1420" w:bottom="1520" w:left="1420" w:right="580"/>
        </w:sectPr>
      </w:pPr>
    </w:p>
    <w:p>
      <w:pPr>
        <w:spacing w:line="482" w:lineRule="auto" w:before="64"/>
        <w:ind w:left="1022" w:right="232" w:hanging="4"/>
        <w:jc w:val="both"/>
        <w:rPr>
          <w:sz w:val="28"/>
        </w:rPr>
      </w:pPr>
      <w:r>
        <w:rPr>
          <w:sz w:val="28"/>
        </w:rPr>
        <w:t>was conducted in a fair manner. That the applicant was convicted of theft of the refrigerator does not mean the respondents are exonerated from having to establish the applicant's guilt in a disciplinary hearing. In the matter of </w:t>
      </w:r>
      <w:r>
        <w:rPr>
          <w:b/>
          <w:sz w:val="27"/>
        </w:rPr>
        <w:t>Mphikeleli Sifani Shongwe v Principal Secretary of the Ministry  of  Education  and  Three Others Industrial Court Case No. 207/2006 </w:t>
      </w:r>
      <w:r>
        <w:rPr>
          <w:sz w:val="28"/>
        </w:rPr>
        <w:t>the Court</w:t>
      </w:r>
      <w:r>
        <w:rPr>
          <w:spacing w:val="31"/>
          <w:sz w:val="28"/>
        </w:rPr>
        <w:t> </w:t>
      </w:r>
      <w:r>
        <w:rPr>
          <w:sz w:val="28"/>
        </w:rPr>
        <w:t>stated that:</w:t>
      </w:r>
    </w:p>
    <w:p>
      <w:pPr>
        <w:spacing w:line="496" w:lineRule="auto" w:before="8"/>
        <w:ind w:left="1033" w:right="218" w:hanging="7"/>
        <w:jc w:val="both"/>
        <w:rPr>
          <w:i/>
          <w:sz w:val="27"/>
        </w:rPr>
      </w:pPr>
      <w:r>
        <w:rPr>
          <w:i/>
          <w:sz w:val="27"/>
        </w:rPr>
        <w:t>"It is a fundamental requirement of natural justice that a  person  must </w:t>
      </w:r>
      <w:r>
        <w:rPr>
          <w:i/>
          <w:sz w:val="27"/>
        </w:rPr>
        <w:t>be given a fair hearing before a decision is taken which adversely affects his interest... the requirement of a fair disciplinary hearing is so fundamental, in labour relations that it will be  enforced  by  the Industrial Court as a matter of policy,  even where  the case  against  the employee appears to be unanswerable ... the position is the same where an employee has been convicted by a criminal court of  a  criminal offence which also gives rise to disciplinary charges. The employee is entitled to contest the correctness of the decision of the criminal court, and to try and persuade his employer that his defence was not properly presented at the criminal trial, or that there is other evidence which establishes his innocence, or that, for one reason or another the criminal verdict was mistaken</w:t>
      </w:r>
      <w:r>
        <w:rPr>
          <w:i/>
          <w:spacing w:val="15"/>
          <w:sz w:val="27"/>
        </w:rPr>
        <w:t> </w:t>
      </w:r>
      <w:r>
        <w:rPr>
          <w:i/>
          <w:sz w:val="27"/>
        </w:rPr>
        <w:t>or wrong."</w:t>
      </w:r>
    </w:p>
    <w:p>
      <w:pPr>
        <w:spacing w:after="0" w:line="496" w:lineRule="auto"/>
        <w:jc w:val="both"/>
        <w:rPr>
          <w:sz w:val="27"/>
        </w:rPr>
        <w:sectPr>
          <w:pgSz w:w="11910" w:h="16850"/>
          <w:pgMar w:header="0" w:footer="1339" w:top="1360" w:bottom="1560" w:left="1420" w:right="580"/>
        </w:sectPr>
      </w:pPr>
    </w:p>
    <w:p>
      <w:pPr>
        <w:pStyle w:val="ListParagraph"/>
        <w:numPr>
          <w:ilvl w:val="0"/>
          <w:numId w:val="1"/>
        </w:numPr>
        <w:tabs>
          <w:tab w:pos="986" w:val="left" w:leader="none"/>
        </w:tabs>
        <w:spacing w:line="477" w:lineRule="auto" w:before="70" w:after="0"/>
        <w:ind w:left="988" w:right="269" w:hanging="717"/>
        <w:jc w:val="both"/>
        <w:rPr>
          <w:sz w:val="28"/>
        </w:rPr>
      </w:pPr>
      <w:r>
        <w:rPr>
          <w:sz w:val="28"/>
        </w:rPr>
        <w:t>Quite clearly, from the above context the respondents remain with the onus of proving that the dismissal of the applicant was procedurally fair and that it was reasonable in all the circumstances of the case to dismiss the applicant, the applicant's conviction at the criminal court not</w:t>
      </w:r>
      <w:r>
        <w:rPr>
          <w:spacing w:val="-4"/>
          <w:sz w:val="28"/>
        </w:rPr>
        <w:t> </w:t>
      </w:r>
      <w:r>
        <w:rPr>
          <w:sz w:val="28"/>
        </w:rPr>
        <w:t>withstanding.</w:t>
      </w:r>
    </w:p>
    <w:p>
      <w:pPr>
        <w:pStyle w:val="BodyText"/>
        <w:rPr>
          <w:sz w:val="30"/>
        </w:rPr>
      </w:pPr>
    </w:p>
    <w:p>
      <w:pPr>
        <w:pStyle w:val="BodyText"/>
        <w:spacing w:before="3"/>
        <w:rPr>
          <w:sz w:val="26"/>
        </w:rPr>
      </w:pPr>
    </w:p>
    <w:p>
      <w:pPr>
        <w:pStyle w:val="ListParagraph"/>
        <w:numPr>
          <w:ilvl w:val="0"/>
          <w:numId w:val="1"/>
        </w:numPr>
        <w:tabs>
          <w:tab w:pos="1009" w:val="left" w:leader="none"/>
        </w:tabs>
        <w:spacing w:line="480" w:lineRule="auto" w:before="0" w:after="0"/>
        <w:ind w:left="1000" w:right="259" w:hanging="722"/>
        <w:jc w:val="both"/>
        <w:rPr>
          <w:sz w:val="28"/>
        </w:rPr>
      </w:pPr>
      <w:r>
        <w:rPr>
          <w:sz w:val="28"/>
        </w:rPr>
        <w:t>We have carefully evaluated the evidence before us at this stage and have considered the documentary evidence filed, together with the pleadings and have come to the conclusion that a case for absolution from the instance has not been made and that the application must fail.</w:t>
      </w:r>
    </w:p>
    <w:p>
      <w:pPr>
        <w:pStyle w:val="BodyText"/>
        <w:rPr>
          <w:sz w:val="30"/>
        </w:rPr>
      </w:pPr>
    </w:p>
    <w:p>
      <w:pPr>
        <w:pStyle w:val="BodyText"/>
        <w:spacing w:before="4"/>
        <w:rPr>
          <w:sz w:val="24"/>
        </w:rPr>
      </w:pPr>
    </w:p>
    <w:p>
      <w:pPr>
        <w:pStyle w:val="ListParagraph"/>
        <w:numPr>
          <w:ilvl w:val="0"/>
          <w:numId w:val="1"/>
        </w:numPr>
        <w:tabs>
          <w:tab w:pos="981" w:val="left" w:leader="none"/>
        </w:tabs>
        <w:spacing w:line="477" w:lineRule="auto" w:before="0" w:after="0"/>
        <w:ind w:left="1000" w:right="258" w:hanging="707"/>
        <w:jc w:val="both"/>
        <w:rPr>
          <w:sz w:val="28"/>
        </w:rPr>
      </w:pPr>
      <w:r>
        <w:rPr>
          <w:sz w:val="28"/>
        </w:rPr>
        <w:t>We have considered the issue of costs in respect of which we have discretion and have come to the conclusion that this is an appropriate case in which the costs should follow the course. We therefore make the following</w:t>
      </w:r>
      <w:r>
        <w:rPr>
          <w:spacing w:val="15"/>
          <w:sz w:val="28"/>
        </w:rPr>
        <w:t> </w:t>
      </w:r>
      <w:r>
        <w:rPr>
          <w:sz w:val="28"/>
        </w:rPr>
        <w:t>order:</w:t>
      </w:r>
    </w:p>
    <w:p>
      <w:pPr>
        <w:pStyle w:val="ListParagraph"/>
        <w:numPr>
          <w:ilvl w:val="1"/>
          <w:numId w:val="4"/>
        </w:numPr>
        <w:tabs>
          <w:tab w:pos="1642" w:val="left" w:leader="none"/>
        </w:tabs>
        <w:spacing w:line="489" w:lineRule="auto" w:before="21" w:after="0"/>
        <w:ind w:left="1744" w:right="1551" w:hanging="725"/>
        <w:jc w:val="left"/>
        <w:rPr>
          <w:b/>
          <w:sz w:val="27"/>
        </w:rPr>
      </w:pPr>
      <w:r>
        <w:rPr>
          <w:b/>
          <w:w w:val="105"/>
          <w:sz w:val="27"/>
        </w:rPr>
        <w:t>The</w:t>
      </w:r>
      <w:r>
        <w:rPr>
          <w:b/>
          <w:spacing w:val="-25"/>
          <w:w w:val="105"/>
          <w:sz w:val="27"/>
        </w:rPr>
        <w:t> </w:t>
      </w:r>
      <w:r>
        <w:rPr>
          <w:b/>
          <w:w w:val="105"/>
          <w:sz w:val="27"/>
        </w:rPr>
        <w:t>application</w:t>
      </w:r>
      <w:r>
        <w:rPr>
          <w:b/>
          <w:spacing w:val="-11"/>
          <w:w w:val="105"/>
          <w:sz w:val="27"/>
        </w:rPr>
        <w:t> </w:t>
      </w:r>
      <w:r>
        <w:rPr>
          <w:b/>
          <w:w w:val="105"/>
          <w:sz w:val="27"/>
        </w:rPr>
        <w:t>for</w:t>
      </w:r>
      <w:r>
        <w:rPr>
          <w:b/>
          <w:spacing w:val="-20"/>
          <w:w w:val="105"/>
          <w:sz w:val="27"/>
        </w:rPr>
        <w:t> </w:t>
      </w:r>
      <w:r>
        <w:rPr>
          <w:b/>
          <w:w w:val="105"/>
          <w:sz w:val="27"/>
        </w:rPr>
        <w:t>absolution</w:t>
      </w:r>
      <w:r>
        <w:rPr>
          <w:b/>
          <w:spacing w:val="-13"/>
          <w:w w:val="105"/>
          <w:sz w:val="27"/>
        </w:rPr>
        <w:t> </w:t>
      </w:r>
      <w:r>
        <w:rPr>
          <w:b/>
          <w:w w:val="105"/>
          <w:sz w:val="27"/>
        </w:rPr>
        <w:t>from</w:t>
      </w:r>
      <w:r>
        <w:rPr>
          <w:b/>
          <w:spacing w:val="-20"/>
          <w:w w:val="105"/>
          <w:sz w:val="27"/>
        </w:rPr>
        <w:t> </w:t>
      </w:r>
      <w:r>
        <w:rPr>
          <w:b/>
          <w:w w:val="105"/>
          <w:sz w:val="27"/>
        </w:rPr>
        <w:t>the</w:t>
      </w:r>
      <w:r>
        <w:rPr>
          <w:b/>
          <w:spacing w:val="-21"/>
          <w:w w:val="105"/>
          <w:sz w:val="27"/>
        </w:rPr>
        <w:t> </w:t>
      </w:r>
      <w:r>
        <w:rPr>
          <w:b/>
          <w:w w:val="105"/>
          <w:sz w:val="27"/>
        </w:rPr>
        <w:t>instance</w:t>
      </w:r>
      <w:r>
        <w:rPr>
          <w:b/>
          <w:spacing w:val="-17"/>
          <w:w w:val="105"/>
          <w:sz w:val="27"/>
        </w:rPr>
        <w:t> </w:t>
      </w:r>
      <w:r>
        <w:rPr>
          <w:b/>
          <w:w w:val="105"/>
          <w:sz w:val="27"/>
        </w:rPr>
        <w:t>is dismissed.</w:t>
      </w:r>
    </w:p>
    <w:p>
      <w:pPr>
        <w:pStyle w:val="ListParagraph"/>
        <w:numPr>
          <w:ilvl w:val="1"/>
          <w:numId w:val="4"/>
        </w:numPr>
        <w:tabs>
          <w:tab w:pos="1743" w:val="left" w:leader="none"/>
        </w:tabs>
        <w:spacing w:line="240" w:lineRule="auto" w:before="17" w:after="0"/>
        <w:ind w:left="1742" w:right="0" w:hanging="715"/>
        <w:jc w:val="left"/>
        <w:rPr>
          <w:b/>
          <w:sz w:val="27"/>
        </w:rPr>
      </w:pPr>
      <w:r>
        <w:rPr>
          <w:b/>
          <w:w w:val="105"/>
          <w:sz w:val="27"/>
        </w:rPr>
        <w:t>The</w:t>
      </w:r>
      <w:r>
        <w:rPr>
          <w:b/>
          <w:spacing w:val="-8"/>
          <w:w w:val="105"/>
          <w:sz w:val="27"/>
        </w:rPr>
        <w:t> </w:t>
      </w:r>
      <w:r>
        <w:rPr>
          <w:b/>
          <w:w w:val="105"/>
          <w:sz w:val="27"/>
        </w:rPr>
        <w:t>respondents</w:t>
      </w:r>
      <w:r>
        <w:rPr>
          <w:b/>
          <w:spacing w:val="5"/>
          <w:w w:val="105"/>
          <w:sz w:val="27"/>
        </w:rPr>
        <w:t> </w:t>
      </w:r>
      <w:r>
        <w:rPr>
          <w:b/>
          <w:w w:val="105"/>
          <w:sz w:val="27"/>
        </w:rPr>
        <w:t>are</w:t>
      </w:r>
      <w:r>
        <w:rPr>
          <w:b/>
          <w:spacing w:val="-20"/>
          <w:w w:val="105"/>
          <w:sz w:val="27"/>
        </w:rPr>
        <w:t> </w:t>
      </w:r>
      <w:r>
        <w:rPr>
          <w:b/>
          <w:w w:val="105"/>
          <w:sz w:val="27"/>
        </w:rPr>
        <w:t>to</w:t>
      </w:r>
      <w:r>
        <w:rPr>
          <w:b/>
          <w:spacing w:val="-14"/>
          <w:w w:val="105"/>
          <w:sz w:val="27"/>
        </w:rPr>
        <w:t> </w:t>
      </w:r>
      <w:r>
        <w:rPr>
          <w:b/>
          <w:w w:val="105"/>
          <w:sz w:val="27"/>
        </w:rPr>
        <w:t>pay</w:t>
      </w:r>
      <w:r>
        <w:rPr>
          <w:b/>
          <w:spacing w:val="-7"/>
          <w:w w:val="105"/>
          <w:sz w:val="27"/>
        </w:rPr>
        <w:t> </w:t>
      </w:r>
      <w:r>
        <w:rPr>
          <w:b/>
          <w:w w:val="105"/>
          <w:sz w:val="27"/>
        </w:rPr>
        <w:t>the</w:t>
      </w:r>
      <w:r>
        <w:rPr>
          <w:b/>
          <w:spacing w:val="-10"/>
          <w:w w:val="105"/>
          <w:sz w:val="27"/>
        </w:rPr>
        <w:t> </w:t>
      </w:r>
      <w:r>
        <w:rPr>
          <w:b/>
          <w:w w:val="105"/>
          <w:sz w:val="27"/>
        </w:rPr>
        <w:t>costs</w:t>
      </w:r>
      <w:r>
        <w:rPr>
          <w:b/>
          <w:spacing w:val="-2"/>
          <w:w w:val="105"/>
          <w:sz w:val="27"/>
        </w:rPr>
        <w:t> </w:t>
      </w:r>
      <w:r>
        <w:rPr>
          <w:b/>
          <w:w w:val="105"/>
          <w:sz w:val="27"/>
        </w:rPr>
        <w:t>of</w:t>
      </w:r>
      <w:r>
        <w:rPr>
          <w:b/>
          <w:spacing w:val="-10"/>
          <w:w w:val="105"/>
          <w:sz w:val="27"/>
        </w:rPr>
        <w:t> </w:t>
      </w:r>
      <w:r>
        <w:rPr>
          <w:b/>
          <w:w w:val="105"/>
          <w:sz w:val="27"/>
        </w:rPr>
        <w:t>the</w:t>
      </w:r>
      <w:r>
        <w:rPr>
          <w:b/>
          <w:spacing w:val="-8"/>
          <w:w w:val="105"/>
          <w:sz w:val="27"/>
        </w:rPr>
        <w:t> </w:t>
      </w:r>
      <w:r>
        <w:rPr>
          <w:b/>
          <w:w w:val="105"/>
          <w:sz w:val="27"/>
        </w:rPr>
        <w:t>application.</w:t>
      </w:r>
    </w:p>
    <w:p>
      <w:pPr>
        <w:spacing w:after="0" w:line="240" w:lineRule="auto"/>
        <w:jc w:val="left"/>
        <w:rPr>
          <w:sz w:val="27"/>
        </w:rPr>
        <w:sectPr>
          <w:pgSz w:w="11910" w:h="16850"/>
          <w:pgMar w:header="0" w:footer="1339" w:top="1340" w:bottom="1600" w:left="1420" w:right="580"/>
        </w:sectPr>
      </w:pPr>
    </w:p>
    <w:p>
      <w:pPr>
        <w:spacing w:before="64"/>
        <w:ind w:left="284" w:right="0" w:firstLine="0"/>
        <w:jc w:val="left"/>
        <w:rPr>
          <w:sz w:val="27"/>
        </w:rPr>
      </w:pPr>
      <w:r>
        <w:rPr>
          <w:w w:val="105"/>
          <w:sz w:val="27"/>
        </w:rPr>
        <w:t>The Members Agree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6"/>
        </w:rPr>
      </w:pPr>
    </w:p>
    <w:p>
      <w:pPr>
        <w:spacing w:before="92"/>
        <w:ind w:left="295" w:right="0" w:firstLine="0"/>
        <w:jc w:val="left"/>
        <w:rPr>
          <w:b/>
          <w:sz w:val="26"/>
        </w:rPr>
      </w:pPr>
      <w:r>
        <w:rPr>
          <w:b/>
          <w:w w:val="110"/>
          <w:sz w:val="26"/>
          <w:u w:val="thick"/>
        </w:rPr>
        <w:t>S. NSIBANDE</w:t>
      </w:r>
    </w:p>
    <w:p>
      <w:pPr>
        <w:spacing w:before="26"/>
        <w:ind w:left="293" w:right="0" w:firstLine="0"/>
        <w:jc w:val="left"/>
        <w:rPr>
          <w:b/>
          <w:sz w:val="26"/>
        </w:rPr>
      </w:pPr>
      <w:r>
        <w:rPr>
          <w:b/>
          <w:w w:val="105"/>
          <w:sz w:val="26"/>
        </w:rPr>
        <w:t>PRESIDENT OF THE INDUSTRIAL COURT OF ESWATINI</w:t>
      </w:r>
    </w:p>
    <w:p>
      <w:pPr>
        <w:pStyle w:val="BodyText"/>
        <w:rPr>
          <w:b/>
        </w:rPr>
      </w:pPr>
    </w:p>
    <w:p>
      <w:pPr>
        <w:pStyle w:val="BodyText"/>
        <w:spacing w:before="2"/>
        <w:rPr>
          <w:b/>
          <w:sz w:val="29"/>
        </w:rPr>
      </w:pPr>
    </w:p>
    <w:p>
      <w:pPr>
        <w:tabs>
          <w:tab w:pos="3467" w:val="left" w:leader="none"/>
        </w:tabs>
        <w:spacing w:before="0"/>
        <w:ind w:left="300" w:right="0" w:firstLine="0"/>
        <w:jc w:val="left"/>
        <w:rPr>
          <w:sz w:val="27"/>
        </w:rPr>
      </w:pPr>
      <w:r>
        <w:rPr>
          <w:b/>
          <w:w w:val="105"/>
          <w:sz w:val="26"/>
        </w:rPr>
        <w:t>For</w:t>
      </w:r>
      <w:r>
        <w:rPr>
          <w:b/>
          <w:spacing w:val="11"/>
          <w:w w:val="105"/>
          <w:sz w:val="26"/>
        </w:rPr>
        <w:t> </w:t>
      </w:r>
      <w:r>
        <w:rPr>
          <w:b/>
          <w:w w:val="105"/>
          <w:sz w:val="26"/>
        </w:rPr>
        <w:t>the</w:t>
      </w:r>
      <w:r>
        <w:rPr>
          <w:b/>
          <w:spacing w:val="10"/>
          <w:w w:val="105"/>
          <w:sz w:val="26"/>
        </w:rPr>
        <w:t> </w:t>
      </w:r>
      <w:r>
        <w:rPr>
          <w:b/>
          <w:w w:val="105"/>
          <w:sz w:val="26"/>
        </w:rPr>
        <w:t>Applicant</w:t>
        <w:tab/>
      </w:r>
      <w:r>
        <w:rPr>
          <w:w w:val="105"/>
          <w:sz w:val="27"/>
        </w:rPr>
        <w:t>Mr. H. Magagula (Robinson Bertram</w:t>
      </w:r>
      <w:r>
        <w:rPr>
          <w:spacing w:val="-26"/>
          <w:w w:val="105"/>
          <w:sz w:val="27"/>
        </w:rPr>
        <w:t> </w:t>
      </w:r>
      <w:r>
        <w:rPr>
          <w:w w:val="105"/>
          <w:sz w:val="27"/>
        </w:rPr>
        <w:t>Attorneys)</w:t>
      </w:r>
    </w:p>
    <w:p>
      <w:pPr>
        <w:pStyle w:val="BodyText"/>
        <w:spacing w:before="10"/>
      </w:pPr>
    </w:p>
    <w:p>
      <w:pPr>
        <w:tabs>
          <w:tab w:pos="3503" w:val="left" w:leader="none"/>
        </w:tabs>
        <w:spacing w:before="0"/>
        <w:ind w:left="300" w:right="0" w:firstLine="0"/>
        <w:jc w:val="left"/>
        <w:rPr>
          <w:sz w:val="27"/>
        </w:rPr>
      </w:pPr>
      <w:r>
        <w:rPr>
          <w:b/>
          <w:w w:val="105"/>
          <w:sz w:val="26"/>
        </w:rPr>
        <w:t>For</w:t>
      </w:r>
      <w:r>
        <w:rPr>
          <w:b/>
          <w:spacing w:val="10"/>
          <w:w w:val="105"/>
          <w:sz w:val="26"/>
        </w:rPr>
        <w:t> </w:t>
      </w:r>
      <w:r>
        <w:rPr>
          <w:b/>
          <w:w w:val="105"/>
          <w:sz w:val="26"/>
        </w:rPr>
        <w:t>the</w:t>
      </w:r>
      <w:r>
        <w:rPr>
          <w:b/>
          <w:spacing w:val="11"/>
          <w:w w:val="105"/>
          <w:sz w:val="26"/>
        </w:rPr>
        <w:t> </w:t>
      </w:r>
      <w:r>
        <w:rPr>
          <w:b/>
          <w:w w:val="105"/>
          <w:sz w:val="26"/>
        </w:rPr>
        <w:t>Respondents:</w:t>
        <w:tab/>
      </w:r>
      <w:r>
        <w:rPr>
          <w:w w:val="105"/>
          <w:sz w:val="27"/>
        </w:rPr>
        <w:t>Mr. B. Dlamini (Attorney General's</w:t>
      </w:r>
      <w:r>
        <w:rPr>
          <w:spacing w:val="-21"/>
          <w:w w:val="105"/>
          <w:sz w:val="27"/>
        </w:rPr>
        <w:t> </w:t>
      </w:r>
      <w:r>
        <w:rPr>
          <w:w w:val="105"/>
          <w:sz w:val="27"/>
        </w:rPr>
        <w:t>Chambers)</w:t>
      </w:r>
    </w:p>
    <w:sectPr>
      <w:pgSz w:w="11910" w:h="16850"/>
      <w:pgMar w:header="0" w:footer="1339" w:top="1340" w:bottom="1580" w:left="142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7"/>
      </w:rPr>
    </w:pPr>
    <w:r>
      <w:rPr/>
      <w:pict>
        <v:shapetype id="_x0000_t202" o:spt="202" coordsize="21600,21600" path="m,l,21600r21600,l21600,xe">
          <v:stroke joinstyle="miter"/>
          <v:path gradientshapeok="t" o:connecttype="rect"/>
        </v:shapetype>
        <v:shape style="position:absolute;margin-left:538.298523pt;margin-top:756.240051pt;width:24.6pt;height:21.6pt;mso-position-horizontal-relative:page;mso-position-vertical-relative:page;z-index:-6040" type="#_x0000_t202" filled="false" stroked="false">
          <v:textbox inset="0,0,0,0">
            <w:txbxContent>
              <w:p>
                <w:pPr>
                  <w:spacing w:before="170"/>
                  <w:ind w:left="196" w:right="0" w:firstLine="0"/>
                  <w:jc w:val="left"/>
                  <w:rPr>
                    <w:sz w:val="21"/>
                  </w:rPr>
                </w:pPr>
                <w:r>
                  <w:rPr/>
                  <w:fldChar w:fldCharType="begin"/>
                </w:r>
                <w:r>
                  <w:rPr>
                    <w:w w:val="110"/>
                    <w:sz w:val="21"/>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20"/>
      <w:numFmt w:val="decimal"/>
      <w:lvlText w:val="%1"/>
      <w:lvlJc w:val="left"/>
      <w:pPr>
        <w:ind w:left="1744" w:hanging="622"/>
        <w:jc w:val="left"/>
      </w:pPr>
      <w:rPr>
        <w:rFonts w:hint="default"/>
      </w:rPr>
    </w:lvl>
    <w:lvl w:ilvl="1">
      <w:start w:val="1"/>
      <w:numFmt w:val="decimal"/>
      <w:lvlText w:val="%1.%2"/>
      <w:lvlJc w:val="left"/>
      <w:pPr>
        <w:ind w:left="1744" w:hanging="622"/>
        <w:jc w:val="left"/>
      </w:pPr>
      <w:rPr>
        <w:rFonts w:hint="default" w:ascii="Arial" w:hAnsi="Arial" w:eastAsia="Arial" w:cs="Arial"/>
        <w:b/>
        <w:bCs/>
        <w:spacing w:val="-1"/>
        <w:w w:val="104"/>
        <w:sz w:val="27"/>
        <w:szCs w:val="27"/>
      </w:rPr>
    </w:lvl>
    <w:lvl w:ilvl="2">
      <w:start w:val="0"/>
      <w:numFmt w:val="bullet"/>
      <w:lvlText w:val="•"/>
      <w:lvlJc w:val="left"/>
      <w:pPr>
        <w:ind w:left="3373" w:hanging="622"/>
      </w:pPr>
      <w:rPr>
        <w:rFonts w:hint="default"/>
      </w:rPr>
    </w:lvl>
    <w:lvl w:ilvl="3">
      <w:start w:val="0"/>
      <w:numFmt w:val="bullet"/>
      <w:lvlText w:val="•"/>
      <w:lvlJc w:val="left"/>
      <w:pPr>
        <w:ind w:left="4190" w:hanging="622"/>
      </w:pPr>
      <w:rPr>
        <w:rFonts w:hint="default"/>
      </w:rPr>
    </w:lvl>
    <w:lvl w:ilvl="4">
      <w:start w:val="0"/>
      <w:numFmt w:val="bullet"/>
      <w:lvlText w:val="•"/>
      <w:lvlJc w:val="left"/>
      <w:pPr>
        <w:ind w:left="5007" w:hanging="622"/>
      </w:pPr>
      <w:rPr>
        <w:rFonts w:hint="default"/>
      </w:rPr>
    </w:lvl>
    <w:lvl w:ilvl="5">
      <w:start w:val="0"/>
      <w:numFmt w:val="bullet"/>
      <w:lvlText w:val="•"/>
      <w:lvlJc w:val="left"/>
      <w:pPr>
        <w:ind w:left="5824" w:hanging="622"/>
      </w:pPr>
      <w:rPr>
        <w:rFonts w:hint="default"/>
      </w:rPr>
    </w:lvl>
    <w:lvl w:ilvl="6">
      <w:start w:val="0"/>
      <w:numFmt w:val="bullet"/>
      <w:lvlText w:val="•"/>
      <w:lvlJc w:val="left"/>
      <w:pPr>
        <w:ind w:left="6641" w:hanging="622"/>
      </w:pPr>
      <w:rPr>
        <w:rFonts w:hint="default"/>
      </w:rPr>
    </w:lvl>
    <w:lvl w:ilvl="7">
      <w:start w:val="0"/>
      <w:numFmt w:val="bullet"/>
      <w:lvlText w:val="•"/>
      <w:lvlJc w:val="left"/>
      <w:pPr>
        <w:ind w:left="7458" w:hanging="622"/>
      </w:pPr>
      <w:rPr>
        <w:rFonts w:hint="default"/>
      </w:rPr>
    </w:lvl>
    <w:lvl w:ilvl="8">
      <w:start w:val="0"/>
      <w:numFmt w:val="bullet"/>
      <w:lvlText w:val="•"/>
      <w:lvlJc w:val="left"/>
      <w:pPr>
        <w:ind w:left="8275" w:hanging="622"/>
      </w:pPr>
      <w:rPr>
        <w:rFonts w:hint="default"/>
      </w:rPr>
    </w:lvl>
  </w:abstractNum>
  <w:abstractNum w:abstractNumId="2">
    <w:multiLevelType w:val="hybridMultilevel"/>
    <w:lvl w:ilvl="0">
      <w:start w:val="0"/>
      <w:numFmt w:val="bullet"/>
      <w:lvlText w:val="•"/>
      <w:lvlJc w:val="left"/>
      <w:pPr>
        <w:ind w:left="1509" w:hanging="424"/>
      </w:pPr>
      <w:rPr>
        <w:rFonts w:hint="default" w:ascii="Arial" w:hAnsi="Arial" w:eastAsia="Arial" w:cs="Arial"/>
        <w:w w:val="100"/>
        <w:sz w:val="28"/>
        <w:szCs w:val="28"/>
      </w:rPr>
    </w:lvl>
    <w:lvl w:ilvl="1">
      <w:start w:val="0"/>
      <w:numFmt w:val="bullet"/>
      <w:lvlText w:val="•"/>
      <w:lvlJc w:val="left"/>
      <w:pPr>
        <w:ind w:left="2340" w:hanging="424"/>
      </w:pPr>
      <w:rPr>
        <w:rFonts w:hint="default"/>
      </w:rPr>
    </w:lvl>
    <w:lvl w:ilvl="2">
      <w:start w:val="0"/>
      <w:numFmt w:val="bullet"/>
      <w:lvlText w:val="•"/>
      <w:lvlJc w:val="left"/>
      <w:pPr>
        <w:ind w:left="3181" w:hanging="424"/>
      </w:pPr>
      <w:rPr>
        <w:rFonts w:hint="default"/>
      </w:rPr>
    </w:lvl>
    <w:lvl w:ilvl="3">
      <w:start w:val="0"/>
      <w:numFmt w:val="bullet"/>
      <w:lvlText w:val="•"/>
      <w:lvlJc w:val="left"/>
      <w:pPr>
        <w:ind w:left="4022" w:hanging="424"/>
      </w:pPr>
      <w:rPr>
        <w:rFonts w:hint="default"/>
      </w:rPr>
    </w:lvl>
    <w:lvl w:ilvl="4">
      <w:start w:val="0"/>
      <w:numFmt w:val="bullet"/>
      <w:lvlText w:val="•"/>
      <w:lvlJc w:val="left"/>
      <w:pPr>
        <w:ind w:left="4863" w:hanging="424"/>
      </w:pPr>
      <w:rPr>
        <w:rFonts w:hint="default"/>
      </w:rPr>
    </w:lvl>
    <w:lvl w:ilvl="5">
      <w:start w:val="0"/>
      <w:numFmt w:val="bullet"/>
      <w:lvlText w:val="•"/>
      <w:lvlJc w:val="left"/>
      <w:pPr>
        <w:ind w:left="5704" w:hanging="424"/>
      </w:pPr>
      <w:rPr>
        <w:rFonts w:hint="default"/>
      </w:rPr>
    </w:lvl>
    <w:lvl w:ilvl="6">
      <w:start w:val="0"/>
      <w:numFmt w:val="bullet"/>
      <w:lvlText w:val="•"/>
      <w:lvlJc w:val="left"/>
      <w:pPr>
        <w:ind w:left="6545" w:hanging="424"/>
      </w:pPr>
      <w:rPr>
        <w:rFonts w:hint="default"/>
      </w:rPr>
    </w:lvl>
    <w:lvl w:ilvl="7">
      <w:start w:val="0"/>
      <w:numFmt w:val="bullet"/>
      <w:lvlText w:val="•"/>
      <w:lvlJc w:val="left"/>
      <w:pPr>
        <w:ind w:left="7386" w:hanging="424"/>
      </w:pPr>
      <w:rPr>
        <w:rFonts w:hint="default"/>
      </w:rPr>
    </w:lvl>
    <w:lvl w:ilvl="8">
      <w:start w:val="0"/>
      <w:numFmt w:val="bullet"/>
      <w:lvlText w:val="•"/>
      <w:lvlJc w:val="left"/>
      <w:pPr>
        <w:ind w:left="8227" w:hanging="424"/>
      </w:pPr>
      <w:rPr>
        <w:rFonts w:hint="default"/>
      </w:rPr>
    </w:lvl>
  </w:abstractNum>
  <w:abstractNum w:abstractNumId="1">
    <w:multiLevelType w:val="hybridMultilevel"/>
    <w:lvl w:ilvl="0">
      <w:start w:val="1"/>
      <w:numFmt w:val="lowerRoman"/>
      <w:lvlText w:val="(%1)"/>
      <w:lvlJc w:val="left"/>
      <w:pPr>
        <w:ind w:left="1348" w:hanging="386"/>
        <w:jc w:val="left"/>
      </w:pPr>
      <w:rPr>
        <w:rFonts w:hint="default" w:ascii="Arial" w:hAnsi="Arial" w:eastAsia="Arial" w:cs="Arial"/>
        <w:spacing w:val="-1"/>
        <w:w w:val="106"/>
        <w:sz w:val="27"/>
        <w:szCs w:val="27"/>
      </w:rPr>
    </w:lvl>
    <w:lvl w:ilvl="1">
      <w:start w:val="0"/>
      <w:numFmt w:val="bullet"/>
      <w:lvlText w:val="•"/>
      <w:lvlJc w:val="left"/>
      <w:pPr>
        <w:ind w:left="2196" w:hanging="386"/>
      </w:pPr>
      <w:rPr>
        <w:rFonts w:hint="default"/>
      </w:rPr>
    </w:lvl>
    <w:lvl w:ilvl="2">
      <w:start w:val="0"/>
      <w:numFmt w:val="bullet"/>
      <w:lvlText w:val="•"/>
      <w:lvlJc w:val="left"/>
      <w:pPr>
        <w:ind w:left="3053" w:hanging="386"/>
      </w:pPr>
      <w:rPr>
        <w:rFonts w:hint="default"/>
      </w:rPr>
    </w:lvl>
    <w:lvl w:ilvl="3">
      <w:start w:val="0"/>
      <w:numFmt w:val="bullet"/>
      <w:lvlText w:val="•"/>
      <w:lvlJc w:val="left"/>
      <w:pPr>
        <w:ind w:left="3910" w:hanging="386"/>
      </w:pPr>
      <w:rPr>
        <w:rFonts w:hint="default"/>
      </w:rPr>
    </w:lvl>
    <w:lvl w:ilvl="4">
      <w:start w:val="0"/>
      <w:numFmt w:val="bullet"/>
      <w:lvlText w:val="•"/>
      <w:lvlJc w:val="left"/>
      <w:pPr>
        <w:ind w:left="4767" w:hanging="386"/>
      </w:pPr>
      <w:rPr>
        <w:rFonts w:hint="default"/>
      </w:rPr>
    </w:lvl>
    <w:lvl w:ilvl="5">
      <w:start w:val="0"/>
      <w:numFmt w:val="bullet"/>
      <w:lvlText w:val="•"/>
      <w:lvlJc w:val="left"/>
      <w:pPr>
        <w:ind w:left="5624" w:hanging="386"/>
      </w:pPr>
      <w:rPr>
        <w:rFonts w:hint="default"/>
      </w:rPr>
    </w:lvl>
    <w:lvl w:ilvl="6">
      <w:start w:val="0"/>
      <w:numFmt w:val="bullet"/>
      <w:lvlText w:val="•"/>
      <w:lvlJc w:val="left"/>
      <w:pPr>
        <w:ind w:left="6481" w:hanging="386"/>
      </w:pPr>
      <w:rPr>
        <w:rFonts w:hint="default"/>
      </w:rPr>
    </w:lvl>
    <w:lvl w:ilvl="7">
      <w:start w:val="0"/>
      <w:numFmt w:val="bullet"/>
      <w:lvlText w:val="•"/>
      <w:lvlJc w:val="left"/>
      <w:pPr>
        <w:ind w:left="7338" w:hanging="386"/>
      </w:pPr>
      <w:rPr>
        <w:rFonts w:hint="default"/>
      </w:rPr>
    </w:lvl>
    <w:lvl w:ilvl="8">
      <w:start w:val="0"/>
      <w:numFmt w:val="bullet"/>
      <w:lvlText w:val="•"/>
      <w:lvlJc w:val="left"/>
      <w:pPr>
        <w:ind w:left="8195" w:hanging="386"/>
      </w:pPr>
      <w:rPr>
        <w:rFonts w:hint="default"/>
      </w:rPr>
    </w:lvl>
  </w:abstractNum>
  <w:abstractNum w:abstractNumId="0">
    <w:multiLevelType w:val="hybridMultilevel"/>
    <w:lvl w:ilvl="0">
      <w:start w:val="1"/>
      <w:numFmt w:val="decimal"/>
      <w:lvlText w:val="[%1]"/>
      <w:lvlJc w:val="left"/>
      <w:pPr>
        <w:ind w:left="668" w:hanging="547"/>
        <w:jc w:val="right"/>
      </w:pPr>
      <w:rPr>
        <w:rFonts w:hint="default"/>
        <w:spacing w:val="-1"/>
        <w:w w:val="106"/>
      </w:rPr>
    </w:lvl>
    <w:lvl w:ilvl="1">
      <w:start w:val="1"/>
      <w:numFmt w:val="decimal"/>
      <w:lvlText w:val="(%2)"/>
      <w:lvlJc w:val="left"/>
      <w:pPr>
        <w:ind w:left="1095" w:hanging="441"/>
        <w:jc w:val="left"/>
      </w:pPr>
      <w:rPr>
        <w:rFonts w:hint="default" w:ascii="Arial" w:hAnsi="Arial" w:eastAsia="Arial" w:cs="Arial"/>
        <w:i/>
        <w:spacing w:val="-1"/>
        <w:w w:val="107"/>
        <w:sz w:val="27"/>
        <w:szCs w:val="27"/>
      </w:rPr>
    </w:lvl>
    <w:lvl w:ilvl="2">
      <w:start w:val="1"/>
      <w:numFmt w:val="lowerLetter"/>
      <w:lvlText w:val="(%3)"/>
      <w:lvlJc w:val="left"/>
      <w:pPr>
        <w:ind w:left="1614" w:hanging="506"/>
        <w:jc w:val="left"/>
      </w:pPr>
      <w:rPr>
        <w:rFonts w:hint="default" w:ascii="Arial" w:hAnsi="Arial" w:eastAsia="Arial" w:cs="Arial"/>
        <w:i/>
        <w:spacing w:val="-1"/>
        <w:w w:val="107"/>
        <w:sz w:val="27"/>
        <w:szCs w:val="27"/>
      </w:rPr>
    </w:lvl>
    <w:lvl w:ilvl="3">
      <w:start w:val="0"/>
      <w:numFmt w:val="bullet"/>
      <w:lvlText w:val="•"/>
      <w:lvlJc w:val="left"/>
      <w:pPr>
        <w:ind w:left="1620" w:hanging="506"/>
      </w:pPr>
      <w:rPr>
        <w:rFonts w:hint="default"/>
      </w:rPr>
    </w:lvl>
    <w:lvl w:ilvl="4">
      <w:start w:val="0"/>
      <w:numFmt w:val="bullet"/>
      <w:lvlText w:val="•"/>
      <w:lvlJc w:val="left"/>
      <w:pPr>
        <w:ind w:left="2804" w:hanging="506"/>
      </w:pPr>
      <w:rPr>
        <w:rFonts w:hint="default"/>
      </w:rPr>
    </w:lvl>
    <w:lvl w:ilvl="5">
      <w:start w:val="0"/>
      <w:numFmt w:val="bullet"/>
      <w:lvlText w:val="•"/>
      <w:lvlJc w:val="left"/>
      <w:pPr>
        <w:ind w:left="3988" w:hanging="506"/>
      </w:pPr>
      <w:rPr>
        <w:rFonts w:hint="default"/>
      </w:rPr>
    </w:lvl>
    <w:lvl w:ilvl="6">
      <w:start w:val="0"/>
      <w:numFmt w:val="bullet"/>
      <w:lvlText w:val="•"/>
      <w:lvlJc w:val="left"/>
      <w:pPr>
        <w:ind w:left="5172" w:hanging="506"/>
      </w:pPr>
      <w:rPr>
        <w:rFonts w:hint="default"/>
      </w:rPr>
    </w:lvl>
    <w:lvl w:ilvl="7">
      <w:start w:val="0"/>
      <w:numFmt w:val="bullet"/>
      <w:lvlText w:val="•"/>
      <w:lvlJc w:val="left"/>
      <w:pPr>
        <w:ind w:left="6356" w:hanging="506"/>
      </w:pPr>
      <w:rPr>
        <w:rFonts w:hint="default"/>
      </w:rPr>
    </w:lvl>
    <w:lvl w:ilvl="8">
      <w:start w:val="0"/>
      <w:numFmt w:val="bullet"/>
      <w:lvlText w:val="•"/>
      <w:lvlJc w:val="left"/>
      <w:pPr>
        <w:ind w:left="7540" w:hanging="506"/>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8"/>
      <w:szCs w:val="28"/>
    </w:rPr>
  </w:style>
  <w:style w:styleId="ListParagraph" w:type="paragraph">
    <w:name w:val="List Paragraph"/>
    <w:basedOn w:val="Normal"/>
    <w:uiPriority w:val="1"/>
    <w:qFormat/>
    <w:pPr>
      <w:ind w:left="1000" w:hanging="722"/>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2022-05-06T11:12:41Z</dcterms:created>
  <dcterms:modified xsi:type="dcterms:W3CDTF">2022-05-06T11:12:41Z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2022-05-06T00:00:00Z</vt:filetime>
  </property>
</Properties>
</file>