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3BF46" w14:textId="77777777" w:rsidR="00000AF7" w:rsidRDefault="00614671">
      <w:pPr>
        <w:spacing w:before="63"/>
        <w:ind w:left="115"/>
        <w:rPr>
          <w:sz w:val="25"/>
        </w:rPr>
      </w:pPr>
      <w:r>
        <w:rPr>
          <w:w w:val="105"/>
          <w:sz w:val="15"/>
        </w:rPr>
        <w:t xml:space="preserve">' </w:t>
      </w:r>
      <w:r>
        <w:rPr>
          <w:w w:val="105"/>
          <w:sz w:val="25"/>
        </w:rPr>
        <w:t>.</w:t>
      </w:r>
    </w:p>
    <w:p w14:paraId="41DDDB3D" w14:textId="77777777" w:rsidR="00000AF7" w:rsidRDefault="00000AF7">
      <w:pPr>
        <w:pStyle w:val="BodyText"/>
        <w:rPr>
          <w:sz w:val="20"/>
        </w:rPr>
      </w:pPr>
    </w:p>
    <w:p w14:paraId="773081D5" w14:textId="77777777" w:rsidR="00000AF7" w:rsidRDefault="00000AF7">
      <w:pPr>
        <w:pStyle w:val="BodyText"/>
        <w:rPr>
          <w:sz w:val="20"/>
        </w:rPr>
      </w:pPr>
    </w:p>
    <w:p w14:paraId="1AF1BDF2" w14:textId="77777777" w:rsidR="00000AF7" w:rsidRDefault="00614671">
      <w:pPr>
        <w:pStyle w:val="BodyText"/>
        <w:spacing w:before="10"/>
        <w:rPr>
          <w:sz w:val="20"/>
        </w:rPr>
      </w:pPr>
      <w:r>
        <w:rPr>
          <w:noProof/>
        </w:rPr>
        <w:drawing>
          <wp:anchor distT="0" distB="0" distL="0" distR="0" simplePos="0" relativeHeight="251658240" behindDoc="0" locked="0" layoutInCell="1" allowOverlap="1" wp14:anchorId="69D23E29" wp14:editId="41A7A361">
            <wp:simplePos x="0" y="0"/>
            <wp:positionH relativeFrom="page">
              <wp:posOffset>3483113</wp:posOffset>
            </wp:positionH>
            <wp:positionV relativeFrom="paragraph">
              <wp:posOffset>177395</wp:posOffset>
            </wp:positionV>
            <wp:extent cx="1249035" cy="832103"/>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249035" cy="832103"/>
                    </a:xfrm>
                    <a:prstGeom prst="rect">
                      <a:avLst/>
                    </a:prstGeom>
                  </pic:spPr>
                </pic:pic>
              </a:graphicData>
            </a:graphic>
          </wp:anchor>
        </w:drawing>
      </w:r>
    </w:p>
    <w:p w14:paraId="4710A03D" w14:textId="77777777" w:rsidR="00000AF7" w:rsidRDefault="00000AF7">
      <w:pPr>
        <w:pStyle w:val="BodyText"/>
        <w:spacing w:before="9"/>
        <w:rPr>
          <w:sz w:val="12"/>
        </w:rPr>
      </w:pPr>
    </w:p>
    <w:p w14:paraId="63E02E42" w14:textId="77777777" w:rsidR="00000AF7" w:rsidRDefault="00614671">
      <w:pPr>
        <w:spacing w:before="90"/>
        <w:ind w:left="2699"/>
        <w:rPr>
          <w:b/>
          <w:sz w:val="25"/>
        </w:rPr>
      </w:pPr>
      <w:r>
        <w:rPr>
          <w:b/>
          <w:w w:val="105"/>
          <w:sz w:val="25"/>
          <w:u w:val="thick"/>
        </w:rPr>
        <w:t>IN THE INDUSTRIAL COURT OF ESWATINI</w:t>
      </w:r>
    </w:p>
    <w:p w14:paraId="2A5B7B9C" w14:textId="77777777" w:rsidR="00000AF7" w:rsidRDefault="00000AF7">
      <w:pPr>
        <w:pStyle w:val="BodyText"/>
        <w:rPr>
          <w:b/>
          <w:sz w:val="28"/>
        </w:rPr>
      </w:pPr>
    </w:p>
    <w:p w14:paraId="12A1DD27" w14:textId="77777777" w:rsidR="00000AF7" w:rsidRDefault="00000AF7">
      <w:pPr>
        <w:pStyle w:val="BodyText"/>
        <w:spacing w:before="8"/>
        <w:rPr>
          <w:b/>
          <w:sz w:val="31"/>
        </w:rPr>
      </w:pPr>
    </w:p>
    <w:p w14:paraId="66ADCD99" w14:textId="77777777" w:rsidR="00000AF7" w:rsidRDefault="00614671">
      <w:pPr>
        <w:tabs>
          <w:tab w:val="left" w:pos="7285"/>
        </w:tabs>
        <w:ind w:left="1198"/>
        <w:rPr>
          <w:sz w:val="25"/>
        </w:rPr>
      </w:pPr>
      <w:r>
        <w:rPr>
          <w:b/>
          <w:w w:val="105"/>
          <w:sz w:val="25"/>
        </w:rPr>
        <w:t>HELD</w:t>
      </w:r>
      <w:r>
        <w:rPr>
          <w:b/>
          <w:spacing w:val="5"/>
          <w:w w:val="105"/>
          <w:sz w:val="25"/>
        </w:rPr>
        <w:t xml:space="preserve"> </w:t>
      </w:r>
      <w:r>
        <w:rPr>
          <w:b/>
          <w:w w:val="105"/>
          <w:sz w:val="25"/>
        </w:rPr>
        <w:t>AT</w:t>
      </w:r>
      <w:r>
        <w:rPr>
          <w:b/>
          <w:spacing w:val="-9"/>
          <w:w w:val="105"/>
          <w:sz w:val="25"/>
        </w:rPr>
        <w:t xml:space="preserve"> </w:t>
      </w:r>
      <w:r>
        <w:rPr>
          <w:b/>
          <w:w w:val="105"/>
          <w:sz w:val="25"/>
        </w:rPr>
        <w:t>MBABANE</w:t>
      </w:r>
      <w:r>
        <w:rPr>
          <w:b/>
          <w:w w:val="105"/>
          <w:sz w:val="25"/>
        </w:rPr>
        <w:tab/>
      </w:r>
      <w:r>
        <w:rPr>
          <w:w w:val="105"/>
          <w:sz w:val="25"/>
        </w:rPr>
        <w:t>Case No.113/2021</w:t>
      </w:r>
    </w:p>
    <w:p w14:paraId="34B55BC5" w14:textId="77777777" w:rsidR="00000AF7" w:rsidRDefault="00000AF7">
      <w:pPr>
        <w:pStyle w:val="BodyText"/>
        <w:spacing w:before="3"/>
        <w:rPr>
          <w:sz w:val="28"/>
        </w:rPr>
      </w:pPr>
    </w:p>
    <w:p w14:paraId="2C8E71B4" w14:textId="77777777" w:rsidR="00000AF7" w:rsidRDefault="00614671">
      <w:pPr>
        <w:spacing w:before="1"/>
        <w:ind w:left="1211"/>
        <w:rPr>
          <w:sz w:val="25"/>
        </w:rPr>
      </w:pPr>
      <w:r>
        <w:rPr>
          <w:w w:val="105"/>
          <w:sz w:val="25"/>
        </w:rPr>
        <w:t>In the matter between:</w:t>
      </w:r>
    </w:p>
    <w:p w14:paraId="6FACD7C3" w14:textId="77777777" w:rsidR="00000AF7" w:rsidRDefault="00000AF7">
      <w:pPr>
        <w:pStyle w:val="BodyText"/>
        <w:rPr>
          <w:sz w:val="28"/>
        </w:rPr>
      </w:pPr>
    </w:p>
    <w:p w14:paraId="54DE37B8" w14:textId="77777777" w:rsidR="00000AF7" w:rsidRDefault="00614671">
      <w:pPr>
        <w:spacing w:before="176"/>
        <w:ind w:left="1212"/>
        <w:rPr>
          <w:b/>
          <w:sz w:val="25"/>
        </w:rPr>
      </w:pPr>
      <w:r>
        <w:rPr>
          <w:b/>
          <w:w w:val="105"/>
          <w:sz w:val="25"/>
        </w:rPr>
        <w:t>SWAZILAND UNION OF FINANCIAL INSTITUTIONS</w:t>
      </w:r>
    </w:p>
    <w:p w14:paraId="6C0C6CA0" w14:textId="77777777" w:rsidR="00000AF7" w:rsidRDefault="00614671">
      <w:pPr>
        <w:tabs>
          <w:tab w:val="left" w:pos="7956"/>
        </w:tabs>
        <w:spacing w:before="8"/>
        <w:ind w:left="1216"/>
        <w:rPr>
          <w:sz w:val="25"/>
        </w:rPr>
      </w:pPr>
      <w:r>
        <w:rPr>
          <w:b/>
          <w:w w:val="105"/>
          <w:sz w:val="25"/>
        </w:rPr>
        <w:t>AND ALLIED</w:t>
      </w:r>
      <w:r>
        <w:rPr>
          <w:b/>
          <w:spacing w:val="3"/>
          <w:w w:val="105"/>
          <w:sz w:val="25"/>
        </w:rPr>
        <w:t xml:space="preserve"> </w:t>
      </w:r>
      <w:r>
        <w:rPr>
          <w:b/>
          <w:w w:val="105"/>
          <w:sz w:val="25"/>
        </w:rPr>
        <w:t>WORKERS</w:t>
      </w:r>
      <w:r>
        <w:rPr>
          <w:b/>
          <w:spacing w:val="2"/>
          <w:w w:val="105"/>
          <w:sz w:val="25"/>
        </w:rPr>
        <w:t xml:space="preserve"> </w:t>
      </w:r>
      <w:r>
        <w:rPr>
          <w:b/>
          <w:w w:val="105"/>
          <w:sz w:val="25"/>
        </w:rPr>
        <w:t>UNION</w:t>
      </w:r>
      <w:r>
        <w:rPr>
          <w:b/>
          <w:w w:val="105"/>
          <w:sz w:val="25"/>
        </w:rPr>
        <w:tab/>
      </w:r>
      <w:r>
        <w:rPr>
          <w:w w:val="105"/>
          <w:sz w:val="25"/>
        </w:rPr>
        <w:t>Applicant</w:t>
      </w:r>
    </w:p>
    <w:p w14:paraId="33B02DB6" w14:textId="77777777" w:rsidR="00000AF7" w:rsidRDefault="00000AF7">
      <w:pPr>
        <w:pStyle w:val="BodyText"/>
        <w:spacing w:before="6"/>
        <w:rPr>
          <w:sz w:val="41"/>
        </w:rPr>
      </w:pPr>
    </w:p>
    <w:p w14:paraId="08D67510" w14:textId="77777777" w:rsidR="00000AF7" w:rsidRDefault="00614671">
      <w:pPr>
        <w:ind w:left="1223"/>
        <w:rPr>
          <w:sz w:val="25"/>
        </w:rPr>
      </w:pPr>
      <w:r>
        <w:rPr>
          <w:w w:val="105"/>
          <w:sz w:val="25"/>
        </w:rPr>
        <w:t>And</w:t>
      </w:r>
    </w:p>
    <w:p w14:paraId="2655A767" w14:textId="77777777" w:rsidR="00000AF7" w:rsidRDefault="00000AF7">
      <w:pPr>
        <w:pStyle w:val="BodyText"/>
        <w:rPr>
          <w:sz w:val="28"/>
        </w:rPr>
      </w:pPr>
    </w:p>
    <w:p w14:paraId="3F03E3EC" w14:textId="77777777" w:rsidR="00000AF7" w:rsidRDefault="00614671">
      <w:pPr>
        <w:tabs>
          <w:tab w:val="left" w:pos="7976"/>
        </w:tabs>
        <w:spacing w:before="203"/>
        <w:ind w:left="1227"/>
        <w:rPr>
          <w:sz w:val="25"/>
        </w:rPr>
      </w:pPr>
      <w:r>
        <w:rPr>
          <w:b/>
          <w:w w:val="105"/>
          <w:sz w:val="25"/>
        </w:rPr>
        <w:t>ESWATINI ROYAL</w:t>
      </w:r>
      <w:r>
        <w:rPr>
          <w:b/>
          <w:spacing w:val="-8"/>
          <w:w w:val="105"/>
          <w:sz w:val="25"/>
        </w:rPr>
        <w:t xml:space="preserve"> </w:t>
      </w:r>
      <w:r>
        <w:rPr>
          <w:b/>
          <w:w w:val="105"/>
          <w:sz w:val="25"/>
        </w:rPr>
        <w:t>INSURANCE</w:t>
      </w:r>
      <w:r>
        <w:rPr>
          <w:b/>
          <w:spacing w:val="-4"/>
          <w:w w:val="105"/>
          <w:sz w:val="25"/>
        </w:rPr>
        <w:t xml:space="preserve"> </w:t>
      </w:r>
      <w:r>
        <w:rPr>
          <w:b/>
          <w:w w:val="105"/>
          <w:sz w:val="25"/>
        </w:rPr>
        <w:t>CORPORATION</w:t>
      </w:r>
      <w:r>
        <w:rPr>
          <w:b/>
          <w:w w:val="105"/>
          <w:sz w:val="25"/>
        </w:rPr>
        <w:tab/>
      </w:r>
      <w:r>
        <w:rPr>
          <w:w w:val="105"/>
          <w:position w:val="1"/>
          <w:sz w:val="25"/>
        </w:rPr>
        <w:t>Respondent</w:t>
      </w:r>
    </w:p>
    <w:p w14:paraId="134BB5D8" w14:textId="77777777" w:rsidR="00000AF7" w:rsidRDefault="00000AF7">
      <w:pPr>
        <w:pStyle w:val="BodyText"/>
        <w:rPr>
          <w:sz w:val="28"/>
        </w:rPr>
      </w:pPr>
    </w:p>
    <w:p w14:paraId="5A8BE287" w14:textId="77777777" w:rsidR="00000AF7" w:rsidRDefault="00000AF7">
      <w:pPr>
        <w:pStyle w:val="BodyText"/>
        <w:spacing w:before="5"/>
        <w:rPr>
          <w:sz w:val="35"/>
        </w:rPr>
      </w:pPr>
    </w:p>
    <w:p w14:paraId="437E44B0" w14:textId="77777777" w:rsidR="00000AF7" w:rsidRDefault="00614671">
      <w:pPr>
        <w:spacing w:line="249" w:lineRule="auto"/>
        <w:ind w:left="3271" w:right="109" w:hanging="2036"/>
        <w:jc w:val="both"/>
        <w:rPr>
          <w:sz w:val="25"/>
        </w:rPr>
      </w:pPr>
      <w:r>
        <w:rPr>
          <w:b/>
          <w:w w:val="105"/>
          <w:sz w:val="25"/>
        </w:rPr>
        <w:t xml:space="preserve">Neutral Citation: </w:t>
      </w:r>
      <w:r>
        <w:rPr>
          <w:w w:val="105"/>
          <w:sz w:val="25"/>
        </w:rPr>
        <w:t>Swaziland Union of Financial Institutions And Allied Workers Union (SUFIAW) vs, Eswatini Royal Insurance Corporation (ESRIC) (113/2021) [2022] SZIC 41 (21 April</w:t>
      </w:r>
    </w:p>
    <w:p w14:paraId="5E1DE023" w14:textId="77777777" w:rsidR="00000AF7" w:rsidRDefault="00614671">
      <w:pPr>
        <w:spacing w:before="4"/>
        <w:ind w:left="3276"/>
        <w:rPr>
          <w:sz w:val="25"/>
        </w:rPr>
      </w:pPr>
      <w:r>
        <w:rPr>
          <w:w w:val="105"/>
          <w:sz w:val="25"/>
        </w:rPr>
        <w:t>2022)</w:t>
      </w:r>
    </w:p>
    <w:p w14:paraId="3B2C9481" w14:textId="77777777" w:rsidR="00000AF7" w:rsidRDefault="00000AF7">
      <w:pPr>
        <w:pStyle w:val="BodyText"/>
        <w:spacing w:before="6"/>
        <w:rPr>
          <w:sz w:val="36"/>
        </w:rPr>
      </w:pPr>
    </w:p>
    <w:p w14:paraId="3849E105" w14:textId="77777777" w:rsidR="00000AF7" w:rsidRDefault="00614671">
      <w:pPr>
        <w:tabs>
          <w:tab w:val="left" w:pos="3287"/>
        </w:tabs>
        <w:spacing w:line="287" w:lineRule="exact"/>
        <w:ind w:left="1244"/>
        <w:rPr>
          <w:b/>
          <w:sz w:val="25"/>
        </w:rPr>
      </w:pPr>
      <w:r>
        <w:rPr>
          <w:b/>
          <w:w w:val="105"/>
          <w:sz w:val="25"/>
        </w:rPr>
        <w:t>Coram:</w:t>
      </w:r>
      <w:r>
        <w:rPr>
          <w:b/>
          <w:w w:val="105"/>
          <w:sz w:val="25"/>
        </w:rPr>
        <w:tab/>
        <w:t>V.Z. DLAMINI- ACTING</w:t>
      </w:r>
      <w:r>
        <w:rPr>
          <w:b/>
          <w:spacing w:val="20"/>
          <w:w w:val="105"/>
          <w:sz w:val="25"/>
        </w:rPr>
        <w:t xml:space="preserve"> </w:t>
      </w:r>
      <w:r>
        <w:rPr>
          <w:b/>
          <w:w w:val="105"/>
          <w:sz w:val="25"/>
        </w:rPr>
        <w:t>JUDGE</w:t>
      </w:r>
    </w:p>
    <w:p w14:paraId="054A5396" w14:textId="77777777" w:rsidR="00000AF7" w:rsidRDefault="00614671">
      <w:pPr>
        <w:tabs>
          <w:tab w:val="left" w:pos="6968"/>
        </w:tabs>
        <w:spacing w:line="249" w:lineRule="auto"/>
        <w:ind w:left="3267" w:right="435" w:firstLine="4"/>
        <w:rPr>
          <w:i/>
          <w:sz w:val="26"/>
        </w:rPr>
      </w:pPr>
      <w:r>
        <w:rPr>
          <w:i/>
          <w:sz w:val="26"/>
        </w:rPr>
        <w:t>(Sitting with D. Mmango</w:t>
      </w:r>
      <w:r>
        <w:rPr>
          <w:i/>
          <w:spacing w:val="7"/>
          <w:sz w:val="26"/>
        </w:rPr>
        <w:t xml:space="preserve"> </w:t>
      </w:r>
      <w:r>
        <w:rPr>
          <w:i/>
          <w:sz w:val="26"/>
        </w:rPr>
        <w:t>and</w:t>
      </w:r>
      <w:r>
        <w:rPr>
          <w:i/>
          <w:spacing w:val="-4"/>
          <w:sz w:val="26"/>
        </w:rPr>
        <w:t xml:space="preserve"> </w:t>
      </w:r>
      <w:r>
        <w:rPr>
          <w:i/>
          <w:sz w:val="26"/>
        </w:rPr>
        <w:t>MT</w:t>
      </w:r>
      <w:r>
        <w:rPr>
          <w:i/>
          <w:sz w:val="26"/>
        </w:rPr>
        <w:tab/>
        <w:t>E Mte</w:t>
      </w:r>
      <w:r>
        <w:rPr>
          <w:i/>
          <w:sz w:val="26"/>
        </w:rPr>
        <w:t xml:space="preserve">twa </w:t>
      </w:r>
      <w:r>
        <w:rPr>
          <w:sz w:val="26"/>
        </w:rPr>
        <w:t xml:space="preserve">- </w:t>
      </w:r>
      <w:r>
        <w:rPr>
          <w:i/>
          <w:sz w:val="26"/>
        </w:rPr>
        <w:t>Nominated Members of the</w:t>
      </w:r>
      <w:r>
        <w:rPr>
          <w:i/>
          <w:spacing w:val="16"/>
          <w:sz w:val="26"/>
        </w:rPr>
        <w:t xml:space="preserve"> </w:t>
      </w:r>
      <w:r>
        <w:rPr>
          <w:i/>
          <w:sz w:val="26"/>
        </w:rPr>
        <w:t>Court)</w:t>
      </w:r>
    </w:p>
    <w:p w14:paraId="0F756202" w14:textId="77777777" w:rsidR="00000AF7" w:rsidRDefault="00000AF7">
      <w:pPr>
        <w:pStyle w:val="BodyText"/>
        <w:rPr>
          <w:i/>
          <w:sz w:val="28"/>
        </w:rPr>
      </w:pPr>
    </w:p>
    <w:p w14:paraId="253DA944" w14:textId="77777777" w:rsidR="00000AF7" w:rsidRDefault="00000AF7">
      <w:pPr>
        <w:pStyle w:val="BodyText"/>
        <w:rPr>
          <w:i/>
          <w:sz w:val="28"/>
        </w:rPr>
      </w:pPr>
    </w:p>
    <w:p w14:paraId="49935491" w14:textId="77777777" w:rsidR="00000AF7" w:rsidRDefault="00614671">
      <w:pPr>
        <w:tabs>
          <w:tab w:val="left" w:pos="3960"/>
        </w:tabs>
        <w:spacing w:before="250"/>
        <w:ind w:left="1249"/>
        <w:rPr>
          <w:sz w:val="25"/>
        </w:rPr>
      </w:pPr>
      <w:r>
        <w:rPr>
          <w:b/>
          <w:w w:val="105"/>
          <w:sz w:val="25"/>
        </w:rPr>
        <w:t>LAST</w:t>
      </w:r>
      <w:r>
        <w:rPr>
          <w:b/>
          <w:spacing w:val="-5"/>
          <w:w w:val="105"/>
          <w:sz w:val="25"/>
        </w:rPr>
        <w:t xml:space="preserve"> </w:t>
      </w:r>
      <w:r>
        <w:rPr>
          <w:b/>
          <w:w w:val="105"/>
          <w:sz w:val="25"/>
        </w:rPr>
        <w:t>HEARD:</w:t>
      </w:r>
      <w:r>
        <w:rPr>
          <w:b/>
          <w:w w:val="105"/>
          <w:sz w:val="25"/>
        </w:rPr>
        <w:tab/>
      </w:r>
      <w:r>
        <w:rPr>
          <w:w w:val="105"/>
          <w:sz w:val="25"/>
        </w:rPr>
        <w:t>11</w:t>
      </w:r>
      <w:r>
        <w:rPr>
          <w:rFonts w:ascii="Arial"/>
          <w:w w:val="105"/>
          <w:position w:val="9"/>
          <w:sz w:val="15"/>
        </w:rPr>
        <w:t xml:space="preserve">th </w:t>
      </w:r>
      <w:r>
        <w:rPr>
          <w:w w:val="105"/>
          <w:sz w:val="25"/>
        </w:rPr>
        <w:t>February</w:t>
      </w:r>
      <w:r>
        <w:rPr>
          <w:spacing w:val="23"/>
          <w:w w:val="105"/>
          <w:sz w:val="25"/>
        </w:rPr>
        <w:t xml:space="preserve"> </w:t>
      </w:r>
      <w:r>
        <w:rPr>
          <w:w w:val="105"/>
          <w:sz w:val="25"/>
        </w:rPr>
        <w:t>2022</w:t>
      </w:r>
    </w:p>
    <w:p w14:paraId="342027BA" w14:textId="77777777" w:rsidR="00000AF7" w:rsidRDefault="00614671">
      <w:pPr>
        <w:tabs>
          <w:tab w:val="left" w:pos="3962"/>
        </w:tabs>
        <w:spacing w:before="181"/>
        <w:ind w:left="1250"/>
        <w:rPr>
          <w:sz w:val="25"/>
        </w:rPr>
      </w:pPr>
      <w:r>
        <w:rPr>
          <w:b/>
          <w:w w:val="105"/>
          <w:sz w:val="25"/>
        </w:rPr>
        <w:t>DATE</w:t>
      </w:r>
      <w:r>
        <w:rPr>
          <w:b/>
          <w:spacing w:val="-9"/>
          <w:w w:val="105"/>
          <w:sz w:val="25"/>
        </w:rPr>
        <w:t xml:space="preserve"> </w:t>
      </w:r>
      <w:r>
        <w:rPr>
          <w:b/>
          <w:w w:val="105"/>
          <w:sz w:val="25"/>
        </w:rPr>
        <w:t>DELIVERED:</w:t>
      </w:r>
      <w:r>
        <w:rPr>
          <w:b/>
          <w:w w:val="105"/>
          <w:sz w:val="25"/>
        </w:rPr>
        <w:tab/>
      </w:r>
      <w:r>
        <w:rPr>
          <w:w w:val="105"/>
          <w:sz w:val="25"/>
        </w:rPr>
        <w:t>21'</w:t>
      </w:r>
      <w:r>
        <w:rPr>
          <w:w w:val="105"/>
          <w:position w:val="9"/>
          <w:sz w:val="15"/>
        </w:rPr>
        <w:t xml:space="preserve">1 </w:t>
      </w:r>
      <w:r>
        <w:rPr>
          <w:w w:val="105"/>
          <w:sz w:val="25"/>
        </w:rPr>
        <w:t>April</w:t>
      </w:r>
      <w:r>
        <w:rPr>
          <w:spacing w:val="-4"/>
          <w:w w:val="105"/>
          <w:sz w:val="25"/>
        </w:rPr>
        <w:t xml:space="preserve"> </w:t>
      </w:r>
      <w:r>
        <w:rPr>
          <w:w w:val="105"/>
          <w:sz w:val="25"/>
        </w:rPr>
        <w:t>2022</w:t>
      </w:r>
    </w:p>
    <w:p w14:paraId="50A0D75F" w14:textId="77777777" w:rsidR="00000AF7" w:rsidRDefault="00000AF7">
      <w:pPr>
        <w:rPr>
          <w:sz w:val="25"/>
        </w:rPr>
        <w:sectPr w:rsidR="00000AF7">
          <w:footerReference w:type="default" r:id="rId8"/>
          <w:type w:val="continuous"/>
          <w:pgSz w:w="11910" w:h="16850"/>
          <w:pgMar w:top="900" w:right="1160" w:bottom="1960" w:left="940" w:header="720" w:footer="1774" w:gutter="0"/>
          <w:pgNumType w:start="1"/>
          <w:cols w:space="720"/>
        </w:sectPr>
      </w:pPr>
    </w:p>
    <w:p w14:paraId="45733852" w14:textId="77777777" w:rsidR="00000AF7" w:rsidRDefault="00614671">
      <w:pPr>
        <w:spacing w:before="65" w:line="362" w:lineRule="auto"/>
        <w:ind w:left="1094" w:right="260" w:hanging="5"/>
        <w:jc w:val="both"/>
        <w:rPr>
          <w:i/>
          <w:sz w:val="26"/>
        </w:rPr>
      </w:pPr>
      <w:r>
        <w:lastRenderedPageBreak/>
        <w:pict w14:anchorId="57339D13">
          <v:line id="_x0000_s2058" style="position:absolute;left:0;text-align:left;z-index:1096;mso-position-horizontal-relative:page;mso-position-vertical-relative:page" from="592.9pt,302.55pt" to="592.9pt,262.55pt" strokeweight=".1273mm">
            <w10:wrap anchorx="page" anchory="page"/>
          </v:line>
        </w:pict>
      </w:r>
      <w:r>
        <w:rPr>
          <w:b/>
          <w:sz w:val="25"/>
        </w:rPr>
        <w:t xml:space="preserve">SUMMARY: </w:t>
      </w:r>
      <w:r>
        <w:rPr>
          <w:i/>
          <w:sz w:val="26"/>
        </w:rPr>
        <w:t>Applicant instituted an application seeking an order that a consultant's report compiled pursuant to a job evaluation and salary review exercise be referred to an independent expert for analysis and review.</w:t>
      </w:r>
    </w:p>
    <w:p w14:paraId="70446F56" w14:textId="77777777" w:rsidR="00000AF7" w:rsidRDefault="00614671">
      <w:pPr>
        <w:spacing w:before="1" w:line="360" w:lineRule="auto"/>
        <w:ind w:left="1104" w:right="256" w:hanging="8"/>
        <w:jc w:val="both"/>
        <w:rPr>
          <w:i/>
          <w:sz w:val="26"/>
        </w:rPr>
      </w:pPr>
      <w:r>
        <w:rPr>
          <w:b/>
          <w:sz w:val="25"/>
        </w:rPr>
        <w:t xml:space="preserve">HELD: </w:t>
      </w:r>
      <w:r>
        <w:rPr>
          <w:i/>
          <w:sz w:val="26"/>
        </w:rPr>
        <w:t xml:space="preserve">That Applicant failed to establish a clear </w:t>
      </w:r>
      <w:r>
        <w:rPr>
          <w:i/>
          <w:sz w:val="26"/>
        </w:rPr>
        <w:t>right for the order sought as the Terms of Reference, which were formulated jointly to commission the job evaluation and salary review do not confer such right neither does a deed of settlement concluded later following an earlier</w:t>
      </w:r>
      <w:r>
        <w:rPr>
          <w:i/>
          <w:spacing w:val="45"/>
          <w:sz w:val="26"/>
        </w:rPr>
        <w:t xml:space="preserve"> </w:t>
      </w:r>
      <w:r>
        <w:rPr>
          <w:i/>
          <w:sz w:val="26"/>
        </w:rPr>
        <w:t>dispute.</w:t>
      </w:r>
    </w:p>
    <w:p w14:paraId="0C703660" w14:textId="77777777" w:rsidR="00000AF7" w:rsidRDefault="00000AF7">
      <w:pPr>
        <w:pStyle w:val="BodyText"/>
        <w:rPr>
          <w:i/>
          <w:sz w:val="20"/>
        </w:rPr>
      </w:pPr>
    </w:p>
    <w:p w14:paraId="47E2A55D" w14:textId="77777777" w:rsidR="00000AF7" w:rsidRDefault="00614671">
      <w:pPr>
        <w:pStyle w:val="BodyText"/>
        <w:spacing w:before="3"/>
        <w:rPr>
          <w:i/>
          <w:sz w:val="18"/>
        </w:rPr>
      </w:pPr>
      <w:r>
        <w:pict w14:anchorId="721DBDC3">
          <v:line id="_x0000_s2057" style="position:absolute;z-index:1048;mso-wrap-distance-left:0;mso-wrap-distance-right:0;mso-position-horizontal-relative:page" from="101.05pt,13.05pt" to="526.5pt,13.05pt" strokeweight=".38164mm">
            <w10:wrap type="topAndBottom" anchorx="page"/>
          </v:line>
        </w:pict>
      </w:r>
    </w:p>
    <w:p w14:paraId="5CEECC3B" w14:textId="77777777" w:rsidR="00000AF7" w:rsidRDefault="00000AF7">
      <w:pPr>
        <w:pStyle w:val="BodyText"/>
        <w:spacing w:before="7"/>
        <w:rPr>
          <w:i/>
          <w:sz w:val="22"/>
        </w:rPr>
      </w:pPr>
    </w:p>
    <w:p w14:paraId="501DDF68" w14:textId="77777777" w:rsidR="00000AF7" w:rsidRDefault="00614671">
      <w:pPr>
        <w:ind w:left="4472" w:right="3619"/>
        <w:jc w:val="center"/>
        <w:rPr>
          <w:b/>
          <w:sz w:val="25"/>
        </w:rPr>
      </w:pPr>
      <w:r>
        <w:rPr>
          <w:b/>
          <w:w w:val="105"/>
          <w:sz w:val="25"/>
        </w:rPr>
        <w:t>JUDGEMENT</w:t>
      </w:r>
    </w:p>
    <w:p w14:paraId="251068CE" w14:textId="77777777" w:rsidR="00000AF7" w:rsidRDefault="00614671">
      <w:pPr>
        <w:pStyle w:val="BodyText"/>
        <w:rPr>
          <w:b/>
          <w:sz w:val="11"/>
        </w:rPr>
      </w:pPr>
      <w:r>
        <w:pict w14:anchorId="7A05D633">
          <v:line id="_x0000_s2056" style="position:absolute;z-index:1072;mso-wrap-distance-left:0;mso-wrap-distance-right:0;mso-position-horizontal-relative:page" from="101.05pt,8.85pt" to="526.5pt,8.85pt" strokeweight=".38164mm">
            <w10:wrap type="topAndBottom" anchorx="page"/>
          </v:line>
        </w:pict>
      </w:r>
    </w:p>
    <w:p w14:paraId="01918061" w14:textId="77777777" w:rsidR="00000AF7" w:rsidRDefault="00000AF7">
      <w:pPr>
        <w:pStyle w:val="BodyText"/>
        <w:rPr>
          <w:b/>
          <w:sz w:val="20"/>
        </w:rPr>
      </w:pPr>
    </w:p>
    <w:p w14:paraId="45F6BF09" w14:textId="77777777" w:rsidR="00000AF7" w:rsidRDefault="00000AF7">
      <w:pPr>
        <w:pStyle w:val="BodyText"/>
        <w:rPr>
          <w:b/>
          <w:sz w:val="20"/>
        </w:rPr>
      </w:pPr>
    </w:p>
    <w:p w14:paraId="260BA625" w14:textId="77777777" w:rsidR="00000AF7" w:rsidRDefault="00000AF7">
      <w:pPr>
        <w:pStyle w:val="BodyText"/>
        <w:spacing w:before="7"/>
        <w:rPr>
          <w:b/>
          <w:sz w:val="25"/>
        </w:rPr>
      </w:pPr>
    </w:p>
    <w:p w14:paraId="27F1B1A2" w14:textId="77777777" w:rsidR="00000AF7" w:rsidRDefault="00614671">
      <w:pPr>
        <w:spacing w:before="90"/>
        <w:ind w:left="1119"/>
        <w:rPr>
          <w:b/>
          <w:sz w:val="25"/>
        </w:rPr>
      </w:pPr>
      <w:r>
        <w:rPr>
          <w:b/>
          <w:w w:val="105"/>
          <w:sz w:val="25"/>
          <w:u w:val="thick"/>
        </w:rPr>
        <w:t>INTRODUCTION</w:t>
      </w:r>
    </w:p>
    <w:p w14:paraId="7E3865AB" w14:textId="77777777" w:rsidR="00000AF7" w:rsidRDefault="00000AF7">
      <w:pPr>
        <w:pStyle w:val="BodyText"/>
        <w:rPr>
          <w:b/>
          <w:sz w:val="28"/>
        </w:rPr>
      </w:pPr>
    </w:p>
    <w:p w14:paraId="54A15ECF" w14:textId="77777777" w:rsidR="00000AF7" w:rsidRDefault="00000AF7">
      <w:pPr>
        <w:pStyle w:val="BodyText"/>
        <w:spacing w:before="6"/>
        <w:rPr>
          <w:b/>
          <w:sz w:val="23"/>
        </w:rPr>
      </w:pPr>
    </w:p>
    <w:p w14:paraId="4DBF179F" w14:textId="77777777" w:rsidR="00000AF7" w:rsidRDefault="00614671">
      <w:pPr>
        <w:pStyle w:val="ListParagraph"/>
        <w:numPr>
          <w:ilvl w:val="0"/>
          <w:numId w:val="4"/>
        </w:numPr>
        <w:tabs>
          <w:tab w:val="left" w:pos="1803"/>
        </w:tabs>
        <w:spacing w:line="501" w:lineRule="auto"/>
        <w:ind w:right="231" w:hanging="679"/>
        <w:jc w:val="both"/>
        <w:rPr>
          <w:sz w:val="25"/>
        </w:rPr>
      </w:pPr>
      <w:r>
        <w:rPr>
          <w:w w:val="105"/>
          <w:sz w:val="25"/>
        </w:rPr>
        <w:t xml:space="preserve">The Applicant, a trade union incorporated and registered in terms of </w:t>
      </w:r>
      <w:r>
        <w:rPr>
          <w:b/>
          <w:w w:val="105"/>
          <w:sz w:val="25"/>
        </w:rPr>
        <w:t>Section</w:t>
      </w:r>
      <w:r>
        <w:rPr>
          <w:b/>
          <w:spacing w:val="-9"/>
          <w:w w:val="105"/>
          <w:sz w:val="25"/>
        </w:rPr>
        <w:t xml:space="preserve"> </w:t>
      </w:r>
      <w:r>
        <w:rPr>
          <w:b/>
          <w:w w:val="105"/>
          <w:sz w:val="25"/>
        </w:rPr>
        <w:t>27</w:t>
      </w:r>
      <w:r>
        <w:rPr>
          <w:b/>
          <w:spacing w:val="-19"/>
          <w:w w:val="105"/>
          <w:sz w:val="25"/>
        </w:rPr>
        <w:t xml:space="preserve"> </w:t>
      </w:r>
      <w:r>
        <w:rPr>
          <w:w w:val="105"/>
          <w:sz w:val="25"/>
        </w:rPr>
        <w:t>of</w:t>
      </w:r>
      <w:r>
        <w:rPr>
          <w:spacing w:val="-26"/>
          <w:w w:val="105"/>
          <w:sz w:val="25"/>
        </w:rPr>
        <w:t xml:space="preserve"> </w:t>
      </w:r>
      <w:r>
        <w:rPr>
          <w:w w:val="105"/>
          <w:sz w:val="25"/>
        </w:rPr>
        <w:t>the</w:t>
      </w:r>
      <w:r>
        <w:rPr>
          <w:spacing w:val="-25"/>
          <w:w w:val="105"/>
          <w:sz w:val="25"/>
        </w:rPr>
        <w:t xml:space="preserve"> </w:t>
      </w:r>
      <w:r>
        <w:rPr>
          <w:b/>
          <w:w w:val="105"/>
          <w:sz w:val="25"/>
        </w:rPr>
        <w:t>Industrial</w:t>
      </w:r>
      <w:r>
        <w:rPr>
          <w:b/>
          <w:spacing w:val="-10"/>
          <w:w w:val="105"/>
          <w:sz w:val="25"/>
        </w:rPr>
        <w:t xml:space="preserve"> </w:t>
      </w:r>
      <w:r>
        <w:rPr>
          <w:b/>
          <w:w w:val="105"/>
          <w:sz w:val="25"/>
        </w:rPr>
        <w:t>Relations</w:t>
      </w:r>
      <w:r>
        <w:rPr>
          <w:b/>
          <w:spacing w:val="-11"/>
          <w:w w:val="105"/>
          <w:sz w:val="25"/>
        </w:rPr>
        <w:t xml:space="preserve"> </w:t>
      </w:r>
      <w:r>
        <w:rPr>
          <w:b/>
          <w:w w:val="105"/>
          <w:sz w:val="25"/>
        </w:rPr>
        <w:t>Act,</w:t>
      </w:r>
      <w:r>
        <w:rPr>
          <w:b/>
          <w:spacing w:val="-23"/>
          <w:w w:val="105"/>
          <w:sz w:val="25"/>
        </w:rPr>
        <w:t xml:space="preserve"> </w:t>
      </w:r>
      <w:r>
        <w:rPr>
          <w:b/>
          <w:w w:val="105"/>
          <w:sz w:val="25"/>
        </w:rPr>
        <w:t>2000</w:t>
      </w:r>
      <w:r>
        <w:rPr>
          <w:b/>
          <w:spacing w:val="-20"/>
          <w:w w:val="105"/>
          <w:sz w:val="25"/>
        </w:rPr>
        <w:t xml:space="preserve"> </w:t>
      </w:r>
      <w:r>
        <w:rPr>
          <w:b/>
          <w:w w:val="105"/>
          <w:sz w:val="25"/>
        </w:rPr>
        <w:t>(as</w:t>
      </w:r>
      <w:r>
        <w:rPr>
          <w:b/>
          <w:spacing w:val="-19"/>
          <w:w w:val="105"/>
          <w:sz w:val="25"/>
        </w:rPr>
        <w:t xml:space="preserve"> </w:t>
      </w:r>
      <w:r>
        <w:rPr>
          <w:b/>
          <w:w w:val="105"/>
          <w:sz w:val="25"/>
        </w:rPr>
        <w:t>amended)</w:t>
      </w:r>
      <w:r>
        <w:rPr>
          <w:b/>
          <w:spacing w:val="-11"/>
          <w:w w:val="105"/>
          <w:sz w:val="25"/>
        </w:rPr>
        <w:t xml:space="preserve"> </w:t>
      </w:r>
      <w:r>
        <w:rPr>
          <w:w w:val="105"/>
          <w:sz w:val="25"/>
        </w:rPr>
        <w:t>and</w:t>
      </w:r>
      <w:r>
        <w:rPr>
          <w:spacing w:val="-11"/>
          <w:w w:val="105"/>
          <w:sz w:val="25"/>
        </w:rPr>
        <w:t xml:space="preserve"> </w:t>
      </w:r>
      <w:r>
        <w:rPr>
          <w:w w:val="105"/>
          <w:sz w:val="25"/>
        </w:rPr>
        <w:t>based in</w:t>
      </w:r>
      <w:r>
        <w:rPr>
          <w:spacing w:val="-16"/>
          <w:w w:val="105"/>
          <w:sz w:val="25"/>
        </w:rPr>
        <w:t xml:space="preserve"> </w:t>
      </w:r>
      <w:r>
        <w:rPr>
          <w:w w:val="105"/>
          <w:sz w:val="25"/>
        </w:rPr>
        <w:t>Mbabane,</w:t>
      </w:r>
      <w:r>
        <w:rPr>
          <w:spacing w:val="-1"/>
          <w:w w:val="105"/>
          <w:sz w:val="25"/>
        </w:rPr>
        <w:t xml:space="preserve"> </w:t>
      </w:r>
      <w:r>
        <w:rPr>
          <w:w w:val="105"/>
          <w:sz w:val="25"/>
        </w:rPr>
        <w:t>filed</w:t>
      </w:r>
      <w:r>
        <w:rPr>
          <w:spacing w:val="-8"/>
          <w:w w:val="105"/>
          <w:sz w:val="25"/>
        </w:rPr>
        <w:t xml:space="preserve"> </w:t>
      </w:r>
      <w:r>
        <w:rPr>
          <w:w w:val="105"/>
          <w:sz w:val="25"/>
        </w:rPr>
        <w:t>an</w:t>
      </w:r>
      <w:r>
        <w:rPr>
          <w:spacing w:val="-11"/>
          <w:w w:val="105"/>
          <w:sz w:val="25"/>
        </w:rPr>
        <w:t xml:space="preserve"> </w:t>
      </w:r>
      <w:r>
        <w:rPr>
          <w:w w:val="105"/>
          <w:sz w:val="25"/>
        </w:rPr>
        <w:t>application</w:t>
      </w:r>
      <w:r>
        <w:rPr>
          <w:spacing w:val="3"/>
          <w:w w:val="105"/>
          <w:sz w:val="25"/>
        </w:rPr>
        <w:t xml:space="preserve"> </w:t>
      </w:r>
      <w:r>
        <w:rPr>
          <w:w w:val="105"/>
          <w:sz w:val="25"/>
        </w:rPr>
        <w:t>in</w:t>
      </w:r>
      <w:r>
        <w:rPr>
          <w:spacing w:val="-21"/>
          <w:w w:val="105"/>
          <w:sz w:val="25"/>
        </w:rPr>
        <w:t xml:space="preserve"> </w:t>
      </w:r>
      <w:r>
        <w:rPr>
          <w:w w:val="105"/>
          <w:sz w:val="25"/>
        </w:rPr>
        <w:t>terms</w:t>
      </w:r>
      <w:r>
        <w:rPr>
          <w:spacing w:val="-7"/>
          <w:w w:val="105"/>
          <w:sz w:val="25"/>
        </w:rPr>
        <w:t xml:space="preserve"> </w:t>
      </w:r>
      <w:r>
        <w:rPr>
          <w:w w:val="105"/>
          <w:sz w:val="25"/>
        </w:rPr>
        <w:t>of</w:t>
      </w:r>
      <w:r>
        <w:rPr>
          <w:spacing w:val="-10"/>
          <w:w w:val="105"/>
          <w:sz w:val="25"/>
        </w:rPr>
        <w:t xml:space="preserve"> </w:t>
      </w:r>
      <w:r>
        <w:rPr>
          <w:b/>
          <w:w w:val="105"/>
          <w:sz w:val="25"/>
        </w:rPr>
        <w:t>Rule</w:t>
      </w:r>
      <w:r>
        <w:rPr>
          <w:b/>
          <w:spacing w:val="-13"/>
          <w:w w:val="105"/>
          <w:sz w:val="25"/>
        </w:rPr>
        <w:t xml:space="preserve"> </w:t>
      </w:r>
      <w:r>
        <w:rPr>
          <w:b/>
          <w:w w:val="105"/>
          <w:sz w:val="25"/>
        </w:rPr>
        <w:t>14</w:t>
      </w:r>
      <w:r>
        <w:rPr>
          <w:b/>
          <w:spacing w:val="-16"/>
          <w:w w:val="105"/>
          <w:sz w:val="25"/>
        </w:rPr>
        <w:t xml:space="preserve"> </w:t>
      </w:r>
      <w:r>
        <w:rPr>
          <w:w w:val="105"/>
          <w:sz w:val="25"/>
        </w:rPr>
        <w:t>of</w:t>
      </w:r>
      <w:r>
        <w:rPr>
          <w:spacing w:val="-21"/>
          <w:w w:val="105"/>
          <w:sz w:val="25"/>
        </w:rPr>
        <w:t xml:space="preserve"> </w:t>
      </w:r>
      <w:r>
        <w:rPr>
          <w:w w:val="105"/>
          <w:sz w:val="25"/>
        </w:rPr>
        <w:t>the</w:t>
      </w:r>
      <w:r>
        <w:rPr>
          <w:spacing w:val="-18"/>
          <w:w w:val="105"/>
          <w:sz w:val="25"/>
        </w:rPr>
        <w:t xml:space="preserve"> </w:t>
      </w:r>
      <w:r>
        <w:rPr>
          <w:w w:val="105"/>
          <w:sz w:val="25"/>
        </w:rPr>
        <w:t>Court</w:t>
      </w:r>
      <w:r>
        <w:rPr>
          <w:spacing w:val="-2"/>
          <w:w w:val="105"/>
          <w:sz w:val="25"/>
        </w:rPr>
        <w:t xml:space="preserve"> </w:t>
      </w:r>
      <w:r>
        <w:rPr>
          <w:w w:val="105"/>
          <w:sz w:val="25"/>
        </w:rPr>
        <w:t>on</w:t>
      </w:r>
      <w:r>
        <w:rPr>
          <w:spacing w:val="-15"/>
          <w:w w:val="105"/>
          <w:sz w:val="25"/>
        </w:rPr>
        <w:t xml:space="preserve"> </w:t>
      </w:r>
      <w:r>
        <w:rPr>
          <w:w w:val="105"/>
          <w:sz w:val="25"/>
        </w:rPr>
        <w:t>the</w:t>
      </w:r>
      <w:r>
        <w:rPr>
          <w:spacing w:val="-16"/>
          <w:w w:val="105"/>
          <w:sz w:val="25"/>
        </w:rPr>
        <w:t xml:space="preserve"> </w:t>
      </w:r>
      <w:r>
        <w:rPr>
          <w:spacing w:val="-3"/>
          <w:w w:val="105"/>
          <w:sz w:val="25"/>
        </w:rPr>
        <w:t>1</w:t>
      </w:r>
      <w:r>
        <w:rPr>
          <w:spacing w:val="-3"/>
          <w:w w:val="105"/>
          <w:sz w:val="25"/>
          <w:vertAlign w:val="superscript"/>
        </w:rPr>
        <w:t>st</w:t>
      </w:r>
      <w:r>
        <w:rPr>
          <w:spacing w:val="-3"/>
          <w:w w:val="105"/>
          <w:sz w:val="25"/>
        </w:rPr>
        <w:t xml:space="preserve"> </w:t>
      </w:r>
      <w:r>
        <w:rPr>
          <w:w w:val="105"/>
          <w:sz w:val="25"/>
        </w:rPr>
        <w:t>April 2021 in which she sought the following</w:t>
      </w:r>
      <w:r>
        <w:rPr>
          <w:spacing w:val="-26"/>
          <w:w w:val="105"/>
          <w:sz w:val="25"/>
        </w:rPr>
        <w:t xml:space="preserve"> </w:t>
      </w:r>
      <w:r>
        <w:rPr>
          <w:w w:val="105"/>
          <w:sz w:val="25"/>
        </w:rPr>
        <w:t>orders:</w:t>
      </w:r>
    </w:p>
    <w:p w14:paraId="36FA023C" w14:textId="77777777" w:rsidR="00000AF7" w:rsidRDefault="00614671">
      <w:pPr>
        <w:pStyle w:val="ListParagraph"/>
        <w:numPr>
          <w:ilvl w:val="1"/>
          <w:numId w:val="4"/>
        </w:numPr>
        <w:tabs>
          <w:tab w:val="left" w:pos="2501"/>
        </w:tabs>
        <w:spacing w:before="150" w:line="506" w:lineRule="auto"/>
        <w:ind w:right="215" w:hanging="679"/>
        <w:jc w:val="both"/>
        <w:rPr>
          <w:rFonts w:ascii="Arial"/>
          <w:b/>
          <w:sz w:val="23"/>
        </w:rPr>
      </w:pPr>
      <w:r>
        <w:rPr>
          <w:b/>
          <w:w w:val="105"/>
          <w:sz w:val="25"/>
        </w:rPr>
        <w:t>Ordering and directing the Respondent to refer the Deloitte Consultancy</w:t>
      </w:r>
      <w:r>
        <w:rPr>
          <w:b/>
          <w:spacing w:val="-1"/>
          <w:w w:val="105"/>
          <w:sz w:val="25"/>
        </w:rPr>
        <w:t xml:space="preserve"> </w:t>
      </w:r>
      <w:r>
        <w:rPr>
          <w:b/>
          <w:w w:val="105"/>
          <w:sz w:val="25"/>
        </w:rPr>
        <w:t>report</w:t>
      </w:r>
      <w:r>
        <w:rPr>
          <w:b/>
          <w:spacing w:val="-18"/>
          <w:w w:val="105"/>
          <w:sz w:val="25"/>
        </w:rPr>
        <w:t xml:space="preserve"> </w:t>
      </w:r>
      <w:r>
        <w:rPr>
          <w:b/>
          <w:w w:val="105"/>
          <w:sz w:val="25"/>
        </w:rPr>
        <w:t>to</w:t>
      </w:r>
      <w:r>
        <w:rPr>
          <w:b/>
          <w:spacing w:val="-23"/>
          <w:w w:val="105"/>
          <w:sz w:val="25"/>
        </w:rPr>
        <w:t xml:space="preserve"> </w:t>
      </w:r>
      <w:r>
        <w:rPr>
          <w:b/>
          <w:w w:val="105"/>
          <w:sz w:val="25"/>
        </w:rPr>
        <w:t>an</w:t>
      </w:r>
      <w:r>
        <w:rPr>
          <w:b/>
          <w:spacing w:val="-16"/>
          <w:w w:val="105"/>
          <w:sz w:val="25"/>
        </w:rPr>
        <w:t xml:space="preserve"> </w:t>
      </w:r>
      <w:r>
        <w:rPr>
          <w:b/>
          <w:w w:val="105"/>
          <w:sz w:val="25"/>
        </w:rPr>
        <w:t>independent</w:t>
      </w:r>
      <w:r>
        <w:rPr>
          <w:b/>
          <w:spacing w:val="-7"/>
          <w:w w:val="105"/>
          <w:sz w:val="25"/>
        </w:rPr>
        <w:t xml:space="preserve"> </w:t>
      </w:r>
      <w:r>
        <w:rPr>
          <w:b/>
          <w:w w:val="105"/>
          <w:sz w:val="25"/>
        </w:rPr>
        <w:t>expert</w:t>
      </w:r>
      <w:r>
        <w:rPr>
          <w:b/>
          <w:spacing w:val="-20"/>
          <w:w w:val="105"/>
          <w:sz w:val="25"/>
        </w:rPr>
        <w:t xml:space="preserve"> </w:t>
      </w:r>
      <w:r>
        <w:rPr>
          <w:b/>
          <w:w w:val="105"/>
          <w:sz w:val="25"/>
        </w:rPr>
        <w:t>for</w:t>
      </w:r>
      <w:r>
        <w:rPr>
          <w:b/>
          <w:spacing w:val="-23"/>
          <w:w w:val="105"/>
          <w:sz w:val="25"/>
        </w:rPr>
        <w:t xml:space="preserve"> </w:t>
      </w:r>
      <w:r>
        <w:rPr>
          <w:b/>
          <w:w w:val="105"/>
          <w:sz w:val="25"/>
        </w:rPr>
        <w:t>analysis</w:t>
      </w:r>
      <w:r>
        <w:rPr>
          <w:b/>
          <w:spacing w:val="-11"/>
          <w:w w:val="105"/>
          <w:sz w:val="25"/>
        </w:rPr>
        <w:t xml:space="preserve"> </w:t>
      </w:r>
      <w:r>
        <w:rPr>
          <w:b/>
          <w:w w:val="105"/>
          <w:sz w:val="25"/>
        </w:rPr>
        <w:t>and</w:t>
      </w:r>
      <w:r>
        <w:rPr>
          <w:b/>
          <w:spacing w:val="-22"/>
          <w:w w:val="105"/>
          <w:sz w:val="25"/>
        </w:rPr>
        <w:t xml:space="preserve"> </w:t>
      </w:r>
      <w:r>
        <w:rPr>
          <w:b/>
          <w:w w:val="105"/>
          <w:sz w:val="25"/>
        </w:rPr>
        <w:t>or review;</w:t>
      </w:r>
    </w:p>
    <w:p w14:paraId="3034789C" w14:textId="77777777" w:rsidR="00000AF7" w:rsidRDefault="00614671">
      <w:pPr>
        <w:pStyle w:val="ListParagraph"/>
        <w:numPr>
          <w:ilvl w:val="1"/>
          <w:numId w:val="4"/>
        </w:numPr>
        <w:tabs>
          <w:tab w:val="left" w:pos="2508"/>
        </w:tabs>
        <w:spacing w:before="134" w:line="506" w:lineRule="auto"/>
        <w:ind w:left="2507" w:right="239" w:hanging="682"/>
        <w:jc w:val="both"/>
        <w:rPr>
          <w:b/>
          <w:sz w:val="25"/>
        </w:rPr>
      </w:pPr>
      <w:r>
        <w:rPr>
          <w:b/>
          <w:w w:val="105"/>
          <w:sz w:val="25"/>
        </w:rPr>
        <w:t>Ordering and directing the parties to agree on the independent Consultant to analyse and or review the Deloitte Consultancy report;</w:t>
      </w:r>
    </w:p>
    <w:p w14:paraId="6803D714" w14:textId="77777777" w:rsidR="00000AF7" w:rsidRDefault="00614671">
      <w:pPr>
        <w:pStyle w:val="ListParagraph"/>
        <w:numPr>
          <w:ilvl w:val="1"/>
          <w:numId w:val="4"/>
        </w:numPr>
        <w:tabs>
          <w:tab w:val="left" w:pos="2514"/>
          <w:tab w:val="left" w:pos="2515"/>
        </w:tabs>
        <w:spacing w:before="135"/>
        <w:ind w:left="2514"/>
        <w:jc w:val="left"/>
        <w:rPr>
          <w:b/>
          <w:sz w:val="25"/>
        </w:rPr>
      </w:pPr>
      <w:r>
        <w:rPr>
          <w:b/>
          <w:w w:val="105"/>
          <w:sz w:val="25"/>
        </w:rPr>
        <w:t>Costs of suit against the</w:t>
      </w:r>
      <w:r>
        <w:rPr>
          <w:b/>
          <w:spacing w:val="-2"/>
          <w:w w:val="105"/>
          <w:sz w:val="25"/>
        </w:rPr>
        <w:t xml:space="preserve"> </w:t>
      </w:r>
      <w:r>
        <w:rPr>
          <w:b/>
          <w:w w:val="105"/>
          <w:sz w:val="25"/>
        </w:rPr>
        <w:t>Respondent;</w:t>
      </w:r>
    </w:p>
    <w:p w14:paraId="765F155F" w14:textId="77777777" w:rsidR="00000AF7" w:rsidRDefault="00000AF7">
      <w:pPr>
        <w:rPr>
          <w:sz w:val="25"/>
        </w:rPr>
        <w:sectPr w:rsidR="00000AF7">
          <w:pgSz w:w="11910" w:h="16850"/>
          <w:pgMar w:top="1480" w:right="1160" w:bottom="2060" w:left="940" w:header="0" w:footer="1774" w:gutter="0"/>
          <w:cols w:space="720"/>
        </w:sectPr>
      </w:pPr>
    </w:p>
    <w:p w14:paraId="38C3C80F" w14:textId="77777777" w:rsidR="00000AF7" w:rsidRDefault="00614671">
      <w:pPr>
        <w:pStyle w:val="Heading1"/>
        <w:numPr>
          <w:ilvl w:val="1"/>
          <w:numId w:val="4"/>
        </w:numPr>
        <w:tabs>
          <w:tab w:val="left" w:pos="2402"/>
          <w:tab w:val="left" w:pos="2403"/>
        </w:tabs>
        <w:ind w:left="2402" w:hanging="679"/>
        <w:jc w:val="left"/>
      </w:pPr>
      <w:r>
        <w:lastRenderedPageBreak/>
        <w:pict w14:anchorId="4CF7662D">
          <v:line id="_x0000_s2055" style="position:absolute;left:0;text-align:left;z-index:1120;mso-position-horizontal-relative:page;mso-position-vertical-relative:page" from="594.35pt,291.4pt" to="594.35pt,243.8pt" strokeweight=".1273mm">
            <w10:wrap anchorx="page" anchory="page"/>
          </v:line>
        </w:pict>
      </w:r>
      <w:r>
        <w:t>Further and or alternative</w:t>
      </w:r>
      <w:r>
        <w:rPr>
          <w:spacing w:val="15"/>
        </w:rPr>
        <w:t xml:space="preserve"> </w:t>
      </w:r>
      <w:r>
        <w:t>relief.</w:t>
      </w:r>
    </w:p>
    <w:p w14:paraId="49DECCAD" w14:textId="77777777" w:rsidR="00000AF7" w:rsidRDefault="00000AF7">
      <w:pPr>
        <w:pStyle w:val="BodyText"/>
        <w:spacing w:before="2"/>
        <w:rPr>
          <w:b/>
          <w:sz w:val="39"/>
        </w:rPr>
      </w:pPr>
    </w:p>
    <w:p w14:paraId="035EF1E7" w14:textId="77777777" w:rsidR="00000AF7" w:rsidRDefault="00614671">
      <w:pPr>
        <w:pStyle w:val="ListParagraph"/>
        <w:numPr>
          <w:ilvl w:val="0"/>
          <w:numId w:val="4"/>
        </w:numPr>
        <w:tabs>
          <w:tab w:val="left" w:pos="1716"/>
        </w:tabs>
        <w:spacing w:line="477" w:lineRule="auto"/>
        <w:ind w:left="1728" w:right="316" w:hanging="683"/>
        <w:jc w:val="both"/>
        <w:rPr>
          <w:sz w:val="26"/>
        </w:rPr>
      </w:pPr>
      <w:r>
        <w:rPr>
          <w:sz w:val="26"/>
        </w:rPr>
        <w:t>The Respondent, a company incorporated and registered in terms of the Company laws of Eswatini and having its registered office in Mbabane, opposes the</w:t>
      </w:r>
      <w:r>
        <w:rPr>
          <w:spacing w:val="5"/>
          <w:sz w:val="26"/>
        </w:rPr>
        <w:t xml:space="preserve"> </w:t>
      </w:r>
      <w:r>
        <w:rPr>
          <w:sz w:val="26"/>
        </w:rPr>
        <w:t>application.</w:t>
      </w:r>
    </w:p>
    <w:p w14:paraId="6C72D15B" w14:textId="77777777" w:rsidR="00000AF7" w:rsidRDefault="00614671">
      <w:pPr>
        <w:spacing w:before="164"/>
        <w:ind w:left="1048"/>
        <w:rPr>
          <w:rFonts w:ascii="Courier New"/>
          <w:b/>
          <w:sz w:val="29"/>
        </w:rPr>
      </w:pPr>
      <w:r>
        <w:rPr>
          <w:rFonts w:ascii="Courier New"/>
          <w:b/>
          <w:w w:val="110"/>
          <w:sz w:val="29"/>
          <w:u w:val="thick"/>
        </w:rPr>
        <w:t>BACKGROUND</w:t>
      </w:r>
    </w:p>
    <w:p w14:paraId="0BD670DF" w14:textId="77777777" w:rsidR="00000AF7" w:rsidRDefault="00000AF7">
      <w:pPr>
        <w:pStyle w:val="BodyText"/>
        <w:spacing w:before="8"/>
        <w:rPr>
          <w:rFonts w:ascii="Courier New"/>
          <w:b/>
          <w:sz w:val="37"/>
        </w:rPr>
      </w:pPr>
    </w:p>
    <w:p w14:paraId="3CB4C233" w14:textId="77777777" w:rsidR="00000AF7" w:rsidRDefault="00614671">
      <w:pPr>
        <w:pStyle w:val="ListParagraph"/>
        <w:numPr>
          <w:ilvl w:val="0"/>
          <w:numId w:val="4"/>
        </w:numPr>
        <w:tabs>
          <w:tab w:val="left" w:pos="1723"/>
        </w:tabs>
        <w:spacing w:line="484" w:lineRule="auto"/>
        <w:ind w:left="1728" w:right="311" w:hanging="676"/>
        <w:jc w:val="both"/>
        <w:rPr>
          <w:sz w:val="26"/>
        </w:rPr>
      </w:pPr>
      <w:r>
        <w:rPr>
          <w:sz w:val="26"/>
        </w:rPr>
        <w:t>The facts are principally common cause. The parties have a recognition agreemen</w:t>
      </w:r>
      <w:r>
        <w:rPr>
          <w:sz w:val="26"/>
        </w:rPr>
        <w:t>t spanning over decades and in terms of which their relationship is regulated. Furthermore, over the years the parties have concluded numerous collective agreements covering terms and conditions of employment of the Respondent's employees who are both memb</w:t>
      </w:r>
      <w:r>
        <w:rPr>
          <w:sz w:val="26"/>
        </w:rPr>
        <w:t>ers of the Applicant and those falling within its bargaining</w:t>
      </w:r>
      <w:r>
        <w:rPr>
          <w:spacing w:val="38"/>
          <w:sz w:val="26"/>
        </w:rPr>
        <w:t xml:space="preserve"> </w:t>
      </w:r>
      <w:r>
        <w:rPr>
          <w:sz w:val="26"/>
        </w:rPr>
        <w:t>unit.</w:t>
      </w:r>
    </w:p>
    <w:p w14:paraId="7D8AF84A" w14:textId="77777777" w:rsidR="00000AF7" w:rsidRDefault="00614671">
      <w:pPr>
        <w:pStyle w:val="ListParagraph"/>
        <w:numPr>
          <w:ilvl w:val="0"/>
          <w:numId w:val="4"/>
        </w:numPr>
        <w:tabs>
          <w:tab w:val="left" w:pos="1731"/>
          <w:tab w:val="left" w:pos="1732"/>
          <w:tab w:val="left" w:pos="2553"/>
          <w:tab w:val="left" w:pos="2662"/>
          <w:tab w:val="left" w:pos="3418"/>
          <w:tab w:val="left" w:pos="4443"/>
          <w:tab w:val="left" w:pos="5404"/>
          <w:tab w:val="left" w:pos="5557"/>
          <w:tab w:val="left" w:pos="6356"/>
          <w:tab w:val="left" w:pos="6999"/>
          <w:tab w:val="left" w:pos="7938"/>
          <w:tab w:val="left" w:pos="8651"/>
        </w:tabs>
        <w:spacing w:before="142" w:line="482" w:lineRule="auto"/>
        <w:ind w:left="1738" w:right="302" w:hanging="679"/>
        <w:jc w:val="left"/>
        <w:rPr>
          <w:sz w:val="26"/>
        </w:rPr>
      </w:pPr>
      <w:r>
        <w:rPr>
          <w:sz w:val="26"/>
        </w:rPr>
        <w:t>In February 2018, the parties agreed to commission Deloitte Consulting (Consultant) to conduct a job evaluation and salary review exercise with effect from'January 2017. As part dfthe instr</w:t>
      </w:r>
      <w:r>
        <w:rPr>
          <w:sz w:val="26"/>
        </w:rPr>
        <w:t>uctions to the Consultant, th parties formulated Terms of Reference and Guidelines (TORs) for the project. During the course of conducting the aforesaid exercise, the Consultant sub-contracted a portion of the work to another consultant known</w:t>
      </w:r>
      <w:r>
        <w:rPr>
          <w:sz w:val="26"/>
        </w:rPr>
        <w:tab/>
      </w:r>
      <w:r>
        <w:rPr>
          <w:sz w:val="26"/>
        </w:rPr>
        <w:tab/>
        <w:t xml:space="preserve">as </w:t>
      </w:r>
      <w:r>
        <w:rPr>
          <w:spacing w:val="50"/>
          <w:sz w:val="26"/>
        </w:rPr>
        <w:t xml:space="preserve"> </w:t>
      </w:r>
      <w:r>
        <w:rPr>
          <w:sz w:val="26"/>
        </w:rPr>
        <w:t>Emergenc</w:t>
      </w:r>
      <w:r>
        <w:rPr>
          <w:sz w:val="26"/>
        </w:rPr>
        <w:t>e</w:t>
      </w:r>
      <w:r>
        <w:rPr>
          <w:sz w:val="26"/>
        </w:rPr>
        <w:tab/>
        <w:t>Human</w:t>
      </w:r>
      <w:r>
        <w:rPr>
          <w:sz w:val="26"/>
        </w:rPr>
        <w:tab/>
        <w:t>Capital</w:t>
      </w:r>
      <w:r>
        <w:rPr>
          <w:sz w:val="26"/>
        </w:rPr>
        <w:tab/>
        <w:t>(Sub-Contractor). The Sub­ Contractor was required to conduct salary benchmarking to compare pay levels</w:t>
      </w:r>
      <w:r>
        <w:rPr>
          <w:sz w:val="26"/>
        </w:rPr>
        <w:tab/>
        <w:t>within</w:t>
      </w:r>
      <w:r>
        <w:rPr>
          <w:sz w:val="26"/>
        </w:rPr>
        <w:tab/>
        <w:t xml:space="preserve">the  </w:t>
      </w:r>
      <w:r>
        <w:rPr>
          <w:spacing w:val="7"/>
          <w:sz w:val="26"/>
        </w:rPr>
        <w:t xml:space="preserve"> </w:t>
      </w:r>
      <w:r>
        <w:rPr>
          <w:sz w:val="26"/>
        </w:rPr>
        <w:t>Respondent's</w:t>
      </w:r>
      <w:r>
        <w:rPr>
          <w:sz w:val="26"/>
        </w:rPr>
        <w:tab/>
      </w:r>
      <w:r>
        <w:rPr>
          <w:sz w:val="26"/>
        </w:rPr>
        <w:tab/>
        <w:t>undertaking</w:t>
      </w:r>
      <w:r>
        <w:rPr>
          <w:sz w:val="26"/>
        </w:rPr>
        <w:tab/>
        <w:t>against</w:t>
      </w:r>
      <w:r>
        <w:rPr>
          <w:sz w:val="26"/>
        </w:rPr>
        <w:tab/>
        <w:t>local</w:t>
      </w:r>
      <w:r>
        <w:rPr>
          <w:sz w:val="26"/>
        </w:rPr>
        <w:tab/>
        <w:t>relevant institutions.</w:t>
      </w:r>
    </w:p>
    <w:p w14:paraId="57641FF3" w14:textId="77777777" w:rsidR="00000AF7" w:rsidRDefault="00000AF7">
      <w:pPr>
        <w:spacing w:line="482" w:lineRule="auto"/>
        <w:rPr>
          <w:sz w:val="26"/>
        </w:rPr>
        <w:sectPr w:rsidR="00000AF7">
          <w:pgSz w:w="11910" w:h="16850"/>
          <w:pgMar w:top="1400" w:right="1160" w:bottom="2120" w:left="940" w:header="0" w:footer="1774" w:gutter="0"/>
          <w:cols w:space="720"/>
        </w:sectPr>
      </w:pPr>
    </w:p>
    <w:p w14:paraId="372A8ADD" w14:textId="77777777" w:rsidR="00000AF7" w:rsidRDefault="00614671">
      <w:pPr>
        <w:pStyle w:val="ListParagraph"/>
        <w:numPr>
          <w:ilvl w:val="0"/>
          <w:numId w:val="4"/>
        </w:numPr>
        <w:tabs>
          <w:tab w:val="left" w:pos="1736"/>
        </w:tabs>
        <w:spacing w:before="62" w:line="482" w:lineRule="auto"/>
        <w:ind w:left="1740" w:right="281" w:hanging="681"/>
        <w:jc w:val="both"/>
        <w:rPr>
          <w:sz w:val="26"/>
        </w:rPr>
      </w:pPr>
      <w:r>
        <w:lastRenderedPageBreak/>
        <w:pict w14:anchorId="4A17ABBB">
          <v:line id="_x0000_s2054" style="position:absolute;left:0;text-align:left;z-index:1144;mso-position-horizontal-relative:page;mso-position-vertical-relative:page" from="595.05pt,313pt" to="595.05pt,268.3pt" strokeweight=".1273mm">
            <w10:wrap anchorx="page" anchory="page"/>
          </v:line>
        </w:pict>
      </w:r>
      <w:r>
        <w:rPr>
          <w:sz w:val="26"/>
        </w:rPr>
        <w:t>After the Sub-Contractor completed its ta</w:t>
      </w:r>
      <w:r>
        <w:rPr>
          <w:sz w:val="26"/>
        </w:rPr>
        <w:t>sk, it handed the Salary Benchmarking Report (First Report) to the Consultant for consideration. The Consultant thereafter compiled its own report (Final Report), which covered the whole scope of work. On or about the 30</w:t>
      </w:r>
      <w:r>
        <w:rPr>
          <w:position w:val="8"/>
          <w:sz w:val="18"/>
        </w:rPr>
        <w:t xml:space="preserve">th </w:t>
      </w:r>
      <w:r>
        <w:rPr>
          <w:sz w:val="26"/>
        </w:rPr>
        <w:t xml:space="preserve">September 2019, the parties held </w:t>
      </w:r>
      <w:r>
        <w:rPr>
          <w:sz w:val="26"/>
        </w:rPr>
        <w:t>a meeting with the Consultant for the latter to interpret the Final</w:t>
      </w:r>
      <w:r>
        <w:rPr>
          <w:spacing w:val="-14"/>
          <w:sz w:val="26"/>
        </w:rPr>
        <w:t xml:space="preserve"> </w:t>
      </w:r>
      <w:r>
        <w:rPr>
          <w:sz w:val="26"/>
        </w:rPr>
        <w:t>Report.</w:t>
      </w:r>
      <w:r>
        <w:rPr>
          <w:spacing w:val="-6"/>
          <w:sz w:val="26"/>
        </w:rPr>
        <w:t xml:space="preserve"> </w:t>
      </w:r>
      <w:r>
        <w:rPr>
          <w:sz w:val="26"/>
        </w:rPr>
        <w:t>Following</w:t>
      </w:r>
      <w:r>
        <w:rPr>
          <w:spacing w:val="-5"/>
          <w:sz w:val="26"/>
        </w:rPr>
        <w:t xml:space="preserve"> </w:t>
      </w:r>
      <w:r>
        <w:rPr>
          <w:sz w:val="26"/>
        </w:rPr>
        <w:t>that</w:t>
      </w:r>
      <w:r>
        <w:rPr>
          <w:spacing w:val="-14"/>
          <w:sz w:val="26"/>
        </w:rPr>
        <w:t xml:space="preserve"> </w:t>
      </w:r>
      <w:r>
        <w:rPr>
          <w:sz w:val="26"/>
        </w:rPr>
        <w:t>meeting,</w:t>
      </w:r>
      <w:r>
        <w:rPr>
          <w:spacing w:val="-16"/>
          <w:sz w:val="26"/>
        </w:rPr>
        <w:t xml:space="preserve"> </w:t>
      </w:r>
      <w:r>
        <w:rPr>
          <w:sz w:val="26"/>
        </w:rPr>
        <w:t>a</w:t>
      </w:r>
      <w:r>
        <w:rPr>
          <w:spacing w:val="-27"/>
          <w:sz w:val="26"/>
        </w:rPr>
        <w:t xml:space="preserve"> </w:t>
      </w:r>
      <w:r>
        <w:rPr>
          <w:sz w:val="26"/>
        </w:rPr>
        <w:t>dispute</w:t>
      </w:r>
      <w:r>
        <w:rPr>
          <w:spacing w:val="-16"/>
          <w:sz w:val="26"/>
        </w:rPr>
        <w:t xml:space="preserve"> </w:t>
      </w:r>
      <w:r>
        <w:rPr>
          <w:sz w:val="26"/>
        </w:rPr>
        <w:t>ensued</w:t>
      </w:r>
      <w:r>
        <w:rPr>
          <w:spacing w:val="-5"/>
          <w:sz w:val="26"/>
        </w:rPr>
        <w:t xml:space="preserve"> </w:t>
      </w:r>
      <w:r>
        <w:rPr>
          <w:sz w:val="26"/>
        </w:rPr>
        <w:t>between</w:t>
      </w:r>
      <w:r>
        <w:rPr>
          <w:spacing w:val="-13"/>
          <w:sz w:val="26"/>
        </w:rPr>
        <w:t xml:space="preserve"> </w:t>
      </w:r>
      <w:r>
        <w:rPr>
          <w:sz w:val="26"/>
        </w:rPr>
        <w:t>the</w:t>
      </w:r>
      <w:r>
        <w:rPr>
          <w:spacing w:val="-20"/>
          <w:sz w:val="26"/>
        </w:rPr>
        <w:t xml:space="preserve"> </w:t>
      </w:r>
      <w:r>
        <w:rPr>
          <w:sz w:val="26"/>
        </w:rPr>
        <w:t>parties.</w:t>
      </w:r>
    </w:p>
    <w:p w14:paraId="761E151A" w14:textId="77777777" w:rsidR="00000AF7" w:rsidRDefault="00614671">
      <w:pPr>
        <w:pStyle w:val="ListParagraph"/>
        <w:numPr>
          <w:ilvl w:val="0"/>
          <w:numId w:val="4"/>
        </w:numPr>
        <w:tabs>
          <w:tab w:val="left" w:pos="1752"/>
        </w:tabs>
        <w:spacing w:before="146" w:line="482" w:lineRule="auto"/>
        <w:ind w:left="1754" w:right="273" w:hanging="681"/>
        <w:jc w:val="both"/>
        <w:rPr>
          <w:sz w:val="26"/>
        </w:rPr>
      </w:pPr>
      <w:r>
        <w:rPr>
          <w:sz w:val="26"/>
        </w:rPr>
        <w:t>The Applicant alleged that the analysis, findings and recommendations in the Final Report showed that the Consultant did not adhere to the Respondent's remuneration policy as required by the TORs; it accordingly proposed that the Final Report be referred t</w:t>
      </w:r>
      <w:r>
        <w:rPr>
          <w:sz w:val="26"/>
        </w:rPr>
        <w:t>o an independent expert for analysis and review. The Respondent adopted a contrary view to the Applicant's objection; it then sought to implement the Consultant's recommendations despite the Applicant's</w:t>
      </w:r>
      <w:r>
        <w:rPr>
          <w:sz w:val="26"/>
        </w:rPr>
        <w:t xml:space="preserve"> </w:t>
      </w:r>
      <w:r>
        <w:rPr>
          <w:sz w:val="26"/>
        </w:rPr>
        <w:t>protestation.</w:t>
      </w:r>
    </w:p>
    <w:p w14:paraId="7B1C77F5" w14:textId="77777777" w:rsidR="00000AF7" w:rsidRDefault="00614671">
      <w:pPr>
        <w:pStyle w:val="ListParagraph"/>
        <w:numPr>
          <w:ilvl w:val="0"/>
          <w:numId w:val="4"/>
        </w:numPr>
        <w:tabs>
          <w:tab w:val="left" w:pos="1776"/>
          <w:tab w:val="left" w:pos="1777"/>
        </w:tabs>
        <w:spacing w:before="164"/>
        <w:ind w:left="1776" w:hanging="681"/>
        <w:jc w:val="left"/>
        <w:rPr>
          <w:b/>
          <w:sz w:val="26"/>
        </w:rPr>
      </w:pPr>
      <w:r>
        <w:rPr>
          <w:sz w:val="26"/>
        </w:rPr>
        <w:t>Pursuant to an application by the Applicant to the Court under</w:t>
      </w:r>
      <w:r>
        <w:rPr>
          <w:spacing w:val="12"/>
          <w:sz w:val="26"/>
        </w:rPr>
        <w:t xml:space="preserve"> </w:t>
      </w:r>
      <w:r>
        <w:rPr>
          <w:b/>
          <w:sz w:val="25"/>
        </w:rPr>
        <w:t>Case no.</w:t>
      </w:r>
    </w:p>
    <w:p w14:paraId="0E32F967" w14:textId="77777777" w:rsidR="00000AF7" w:rsidRDefault="00000AF7">
      <w:pPr>
        <w:pStyle w:val="BodyText"/>
        <w:spacing w:before="1"/>
        <w:rPr>
          <w:b/>
        </w:rPr>
      </w:pPr>
    </w:p>
    <w:p w14:paraId="5496A096" w14:textId="77777777" w:rsidR="00000AF7" w:rsidRDefault="00614671">
      <w:pPr>
        <w:pStyle w:val="BodyText"/>
        <w:spacing w:line="482" w:lineRule="auto"/>
        <w:ind w:left="1778" w:right="251" w:firstLine="3"/>
        <w:jc w:val="both"/>
      </w:pPr>
      <w:r>
        <w:rPr>
          <w:b/>
          <w:sz w:val="25"/>
        </w:rPr>
        <w:t xml:space="preserve">274/2019, </w:t>
      </w:r>
      <w:r>
        <w:t>the Respondent was interdicted by the Court from implementing the</w:t>
      </w:r>
      <w:r>
        <w:rPr>
          <w:spacing w:val="-21"/>
        </w:rPr>
        <w:t xml:space="preserve"> </w:t>
      </w:r>
      <w:r>
        <w:t>Consultant's</w:t>
      </w:r>
      <w:r>
        <w:rPr>
          <w:spacing w:val="10"/>
        </w:rPr>
        <w:t xml:space="preserve"> </w:t>
      </w:r>
      <w:r>
        <w:t>recommendation</w:t>
      </w:r>
      <w:r>
        <w:rPr>
          <w:spacing w:val="-7"/>
        </w:rPr>
        <w:t xml:space="preserve"> </w:t>
      </w:r>
      <w:r>
        <w:t>and</w:t>
      </w:r>
      <w:r>
        <w:rPr>
          <w:spacing w:val="-14"/>
        </w:rPr>
        <w:t xml:space="preserve"> </w:t>
      </w:r>
      <w:r>
        <w:t>a</w:t>
      </w:r>
      <w:r>
        <w:rPr>
          <w:spacing w:val="-24"/>
        </w:rPr>
        <w:t xml:space="preserve"> </w:t>
      </w:r>
      <w:r>
        <w:t>consent</w:t>
      </w:r>
      <w:r>
        <w:rPr>
          <w:spacing w:val="5"/>
        </w:rPr>
        <w:t xml:space="preserve"> </w:t>
      </w:r>
      <w:r>
        <w:t>order</w:t>
      </w:r>
      <w:r>
        <w:rPr>
          <w:spacing w:val="-8"/>
        </w:rPr>
        <w:t xml:space="preserve"> </w:t>
      </w:r>
      <w:r>
        <w:t>was</w:t>
      </w:r>
      <w:r>
        <w:rPr>
          <w:spacing w:val="-6"/>
        </w:rPr>
        <w:t xml:space="preserve"> </w:t>
      </w:r>
      <w:r>
        <w:t>granted</w:t>
      </w:r>
      <w:r>
        <w:rPr>
          <w:spacing w:val="2"/>
        </w:rPr>
        <w:t xml:space="preserve"> </w:t>
      </w:r>
      <w:r>
        <w:t>in</w:t>
      </w:r>
      <w:r>
        <w:rPr>
          <w:spacing w:val="-12"/>
        </w:rPr>
        <w:t xml:space="preserve"> </w:t>
      </w:r>
      <w:r>
        <w:t>terms of which the parties agreed to meet to</w:t>
      </w:r>
      <w:r>
        <w:t xml:space="preserve"> formally adopt the Consultant's report</w:t>
      </w:r>
      <w:r>
        <w:rPr>
          <w:spacing w:val="-9"/>
        </w:rPr>
        <w:t xml:space="preserve"> </w:t>
      </w:r>
      <w:r>
        <w:t>and</w:t>
      </w:r>
      <w:r>
        <w:rPr>
          <w:spacing w:val="-10"/>
        </w:rPr>
        <w:t xml:space="preserve"> </w:t>
      </w:r>
      <w:r>
        <w:t>commence</w:t>
      </w:r>
      <w:r>
        <w:rPr>
          <w:spacing w:val="-5"/>
        </w:rPr>
        <w:t xml:space="preserve"> </w:t>
      </w:r>
      <w:r>
        <w:t>negotiations</w:t>
      </w:r>
      <w:r>
        <w:rPr>
          <w:spacing w:val="-7"/>
        </w:rPr>
        <w:t xml:space="preserve"> </w:t>
      </w:r>
      <w:r>
        <w:t>on</w:t>
      </w:r>
      <w:r>
        <w:rPr>
          <w:spacing w:val="-13"/>
        </w:rPr>
        <w:t xml:space="preserve"> </w:t>
      </w:r>
      <w:r>
        <w:t>any</w:t>
      </w:r>
      <w:r>
        <w:rPr>
          <w:spacing w:val="-19"/>
        </w:rPr>
        <w:t xml:space="preserve"> </w:t>
      </w:r>
      <w:r>
        <w:t>areas</w:t>
      </w:r>
      <w:r>
        <w:rPr>
          <w:spacing w:val="-9"/>
        </w:rPr>
        <w:t xml:space="preserve"> </w:t>
      </w:r>
      <w:r>
        <w:t>of</w:t>
      </w:r>
      <w:r>
        <w:rPr>
          <w:spacing w:val="-22"/>
        </w:rPr>
        <w:t xml:space="preserve"> </w:t>
      </w:r>
      <w:r>
        <w:t>concern</w:t>
      </w:r>
      <w:r>
        <w:rPr>
          <w:spacing w:val="-9"/>
        </w:rPr>
        <w:t xml:space="preserve"> </w:t>
      </w:r>
      <w:r>
        <w:t>and</w:t>
      </w:r>
      <w:r>
        <w:rPr>
          <w:spacing w:val="-9"/>
        </w:rPr>
        <w:t xml:space="preserve"> </w:t>
      </w:r>
      <w:r>
        <w:t>where</w:t>
      </w:r>
      <w:r>
        <w:rPr>
          <w:spacing w:val="-13"/>
        </w:rPr>
        <w:t xml:space="preserve"> </w:t>
      </w:r>
      <w:r>
        <w:t>there was disagreement, either party had the right to report a dispute to the Conciliation, Mediation and Arbitration Commission</w:t>
      </w:r>
      <w:r>
        <w:rPr>
          <w:spacing w:val="45"/>
        </w:rPr>
        <w:t xml:space="preserve"> </w:t>
      </w:r>
      <w:r>
        <w:t>(CMAC).</w:t>
      </w:r>
    </w:p>
    <w:p w14:paraId="319B6EDD" w14:textId="77777777" w:rsidR="00000AF7" w:rsidRDefault="00000AF7">
      <w:pPr>
        <w:spacing w:line="482" w:lineRule="auto"/>
        <w:jc w:val="both"/>
        <w:sectPr w:rsidR="00000AF7">
          <w:pgSz w:w="11910" w:h="16850"/>
          <w:pgMar w:top="1440" w:right="1160" w:bottom="2080" w:left="940" w:header="0" w:footer="1774" w:gutter="0"/>
          <w:cols w:space="720"/>
        </w:sectPr>
      </w:pPr>
    </w:p>
    <w:p w14:paraId="32F8DBFE" w14:textId="77777777" w:rsidR="00000AF7" w:rsidRDefault="00614671">
      <w:pPr>
        <w:pStyle w:val="ListParagraph"/>
        <w:numPr>
          <w:ilvl w:val="0"/>
          <w:numId w:val="4"/>
        </w:numPr>
        <w:tabs>
          <w:tab w:val="left" w:pos="1803"/>
        </w:tabs>
        <w:spacing w:before="66" w:line="480" w:lineRule="auto"/>
        <w:ind w:left="1815" w:right="218" w:hanging="691"/>
        <w:jc w:val="both"/>
        <w:rPr>
          <w:sz w:val="26"/>
        </w:rPr>
      </w:pPr>
      <w:r>
        <w:rPr>
          <w:sz w:val="26"/>
        </w:rPr>
        <w:lastRenderedPageBreak/>
        <w:t>The parties met several times and save for the adoption of the Consultant's report, they failed to reac</w:t>
      </w:r>
      <w:r>
        <w:rPr>
          <w:sz w:val="26"/>
        </w:rPr>
        <w:t>h consensus on the implementation of Consultant's recommendation. The Applicant subsequently reported a dispute for unfair labour practice to CMAC. The dispute was certified as unresolved by</w:t>
      </w:r>
      <w:r>
        <w:rPr>
          <w:spacing w:val="-43"/>
          <w:sz w:val="26"/>
        </w:rPr>
        <w:t xml:space="preserve"> </w:t>
      </w:r>
      <w:r>
        <w:rPr>
          <w:sz w:val="26"/>
        </w:rPr>
        <w:t>CMAC.</w:t>
      </w:r>
    </w:p>
    <w:p w14:paraId="101C7299" w14:textId="77777777" w:rsidR="00000AF7" w:rsidRDefault="00614671">
      <w:pPr>
        <w:spacing w:before="172"/>
        <w:ind w:left="1132"/>
        <w:rPr>
          <w:b/>
          <w:i/>
          <w:sz w:val="25"/>
        </w:rPr>
      </w:pPr>
      <w:r>
        <w:rPr>
          <w:b/>
          <w:w w:val="105"/>
          <w:sz w:val="25"/>
        </w:rPr>
        <w:t xml:space="preserve">POINTS </w:t>
      </w:r>
      <w:r>
        <w:rPr>
          <w:b/>
          <w:i/>
          <w:w w:val="105"/>
          <w:sz w:val="25"/>
        </w:rPr>
        <w:t>IN LIMINE</w:t>
      </w:r>
    </w:p>
    <w:p w14:paraId="2E650A76" w14:textId="77777777" w:rsidR="00000AF7" w:rsidRDefault="00000AF7">
      <w:pPr>
        <w:pStyle w:val="BodyText"/>
        <w:spacing w:before="7"/>
        <w:rPr>
          <w:b/>
          <w:i/>
          <w:sz w:val="38"/>
        </w:rPr>
      </w:pPr>
    </w:p>
    <w:p w14:paraId="754F1127" w14:textId="77777777" w:rsidR="00000AF7" w:rsidRDefault="00614671">
      <w:pPr>
        <w:pStyle w:val="ListParagraph"/>
        <w:numPr>
          <w:ilvl w:val="0"/>
          <w:numId w:val="4"/>
        </w:numPr>
        <w:tabs>
          <w:tab w:val="left" w:pos="1816"/>
          <w:tab w:val="left" w:pos="1817"/>
        </w:tabs>
        <w:ind w:left="1816"/>
        <w:jc w:val="left"/>
        <w:rPr>
          <w:sz w:val="26"/>
        </w:rPr>
      </w:pPr>
      <w:r>
        <w:rPr>
          <w:sz w:val="26"/>
        </w:rPr>
        <w:t xml:space="preserve">The Respondent raised points oflaw in </w:t>
      </w:r>
      <w:r>
        <w:rPr>
          <w:i/>
          <w:sz w:val="27"/>
        </w:rPr>
        <w:t>lim</w:t>
      </w:r>
      <w:r>
        <w:rPr>
          <w:i/>
          <w:sz w:val="27"/>
        </w:rPr>
        <w:t xml:space="preserve">ine </w:t>
      </w:r>
      <w:r>
        <w:rPr>
          <w:sz w:val="26"/>
        </w:rPr>
        <w:t>as</w:t>
      </w:r>
      <w:r>
        <w:rPr>
          <w:spacing w:val="-34"/>
          <w:sz w:val="26"/>
        </w:rPr>
        <w:t xml:space="preserve"> </w:t>
      </w:r>
      <w:r>
        <w:rPr>
          <w:sz w:val="26"/>
        </w:rPr>
        <w:t>follows:</w:t>
      </w:r>
    </w:p>
    <w:p w14:paraId="7551FF86" w14:textId="77777777" w:rsidR="00000AF7" w:rsidRDefault="00000AF7">
      <w:pPr>
        <w:pStyle w:val="BodyText"/>
        <w:spacing w:before="7"/>
        <w:rPr>
          <w:sz w:val="39"/>
        </w:rPr>
      </w:pPr>
    </w:p>
    <w:p w14:paraId="65C4A958" w14:textId="77777777" w:rsidR="00000AF7" w:rsidRDefault="00614671">
      <w:pPr>
        <w:pStyle w:val="ListParagraph"/>
        <w:numPr>
          <w:ilvl w:val="1"/>
          <w:numId w:val="3"/>
        </w:numPr>
        <w:tabs>
          <w:tab w:val="left" w:pos="2495"/>
        </w:tabs>
        <w:spacing w:line="480" w:lineRule="auto"/>
        <w:ind w:right="218" w:hanging="668"/>
        <w:jc w:val="both"/>
        <w:rPr>
          <w:sz w:val="26"/>
        </w:rPr>
      </w:pPr>
      <w:r>
        <w:rPr>
          <w:sz w:val="26"/>
        </w:rPr>
        <w:t>That the Applicant had not established a clear right (which was a prerequisite for the grant of a mandatory interdict). Put differently, the Applicant did not have a right enforceable in law for the referral of the Consultant's report to a</w:t>
      </w:r>
      <w:r>
        <w:rPr>
          <w:sz w:val="26"/>
        </w:rPr>
        <w:t>n independent</w:t>
      </w:r>
      <w:r>
        <w:rPr>
          <w:spacing w:val="-31"/>
          <w:sz w:val="26"/>
        </w:rPr>
        <w:t xml:space="preserve"> </w:t>
      </w:r>
      <w:r>
        <w:rPr>
          <w:sz w:val="26"/>
        </w:rPr>
        <w:t>expert.</w:t>
      </w:r>
    </w:p>
    <w:p w14:paraId="44A183F0" w14:textId="77777777" w:rsidR="00000AF7" w:rsidRDefault="00614671">
      <w:pPr>
        <w:pStyle w:val="ListParagraph"/>
        <w:numPr>
          <w:ilvl w:val="1"/>
          <w:numId w:val="3"/>
        </w:numPr>
        <w:tabs>
          <w:tab w:val="left" w:pos="2503"/>
        </w:tabs>
        <w:spacing w:before="155" w:line="487" w:lineRule="auto"/>
        <w:ind w:left="2515" w:right="196" w:hanging="680"/>
        <w:jc w:val="both"/>
        <w:rPr>
          <w:sz w:val="26"/>
        </w:rPr>
      </w:pPr>
      <w:r>
        <w:rPr>
          <w:sz w:val="26"/>
        </w:rPr>
        <w:t>That the Applicant had failed to set out primary facts that demonstrate that the Respondent had refused to act in fulfillment a right possessed by the Applicant; the relief sought was therefore incompetent.</w:t>
      </w:r>
    </w:p>
    <w:p w14:paraId="034F6868" w14:textId="77777777" w:rsidR="00000AF7" w:rsidRDefault="00614671">
      <w:pPr>
        <w:pStyle w:val="ListParagraph"/>
        <w:numPr>
          <w:ilvl w:val="1"/>
          <w:numId w:val="3"/>
        </w:numPr>
        <w:tabs>
          <w:tab w:val="left" w:pos="2517"/>
        </w:tabs>
        <w:spacing w:before="125" w:line="480" w:lineRule="auto"/>
        <w:ind w:left="2516" w:right="186"/>
        <w:jc w:val="both"/>
        <w:rPr>
          <w:sz w:val="26"/>
        </w:rPr>
      </w:pPr>
      <w:r>
        <w:rPr>
          <w:sz w:val="26"/>
        </w:rPr>
        <w:t xml:space="preserve">That the Applicant fell short of showing that it </w:t>
      </w:r>
      <w:r>
        <w:rPr>
          <w:sz w:val="26"/>
        </w:rPr>
        <w:t>had no other remedy other than to approach the Court in the manner it had done. That the TORs</w:t>
      </w:r>
      <w:r>
        <w:rPr>
          <w:spacing w:val="-7"/>
          <w:sz w:val="26"/>
        </w:rPr>
        <w:t xml:space="preserve"> </w:t>
      </w:r>
      <w:r>
        <w:rPr>
          <w:sz w:val="26"/>
        </w:rPr>
        <w:t>agreed</w:t>
      </w:r>
      <w:r>
        <w:rPr>
          <w:spacing w:val="-9"/>
          <w:sz w:val="26"/>
        </w:rPr>
        <w:t xml:space="preserve"> </w:t>
      </w:r>
      <w:r>
        <w:rPr>
          <w:sz w:val="26"/>
        </w:rPr>
        <w:t>between</w:t>
      </w:r>
      <w:r>
        <w:rPr>
          <w:spacing w:val="-7"/>
          <w:sz w:val="26"/>
        </w:rPr>
        <w:t xml:space="preserve"> </w:t>
      </w:r>
      <w:r>
        <w:rPr>
          <w:sz w:val="26"/>
        </w:rPr>
        <w:t>the</w:t>
      </w:r>
      <w:r>
        <w:rPr>
          <w:spacing w:val="-21"/>
          <w:sz w:val="26"/>
        </w:rPr>
        <w:t xml:space="preserve"> </w:t>
      </w:r>
      <w:r>
        <w:rPr>
          <w:sz w:val="26"/>
        </w:rPr>
        <w:t>parties</w:t>
      </w:r>
      <w:r>
        <w:rPr>
          <w:spacing w:val="-7"/>
          <w:sz w:val="26"/>
        </w:rPr>
        <w:t xml:space="preserve"> </w:t>
      </w:r>
      <w:r>
        <w:rPr>
          <w:sz w:val="26"/>
        </w:rPr>
        <w:t>established</w:t>
      </w:r>
      <w:r>
        <w:rPr>
          <w:sz w:val="26"/>
        </w:rPr>
        <w:t xml:space="preserve"> </w:t>
      </w:r>
      <w:r>
        <w:rPr>
          <w:sz w:val="26"/>
        </w:rPr>
        <w:t>an</w:t>
      </w:r>
      <w:r>
        <w:rPr>
          <w:spacing w:val="-15"/>
          <w:sz w:val="26"/>
        </w:rPr>
        <w:t xml:space="preserve"> </w:t>
      </w:r>
      <w:r>
        <w:rPr>
          <w:sz w:val="26"/>
        </w:rPr>
        <w:t>Appeals</w:t>
      </w:r>
      <w:r>
        <w:rPr>
          <w:spacing w:val="-11"/>
          <w:sz w:val="26"/>
        </w:rPr>
        <w:t xml:space="preserve"> </w:t>
      </w:r>
      <w:r>
        <w:rPr>
          <w:sz w:val="26"/>
        </w:rPr>
        <w:t>Committee to address any grievances arising out of the Consultant's report. Furthermore, that if the Applicant's contention was that</w:t>
      </w:r>
      <w:r>
        <w:rPr>
          <w:spacing w:val="-11"/>
          <w:sz w:val="26"/>
        </w:rPr>
        <w:t xml:space="preserve"> </w:t>
      </w:r>
      <w:r>
        <w:rPr>
          <w:sz w:val="26"/>
        </w:rPr>
        <w:t>the</w:t>
      </w:r>
    </w:p>
    <w:p w14:paraId="18650592" w14:textId="77777777" w:rsidR="00000AF7" w:rsidRDefault="00000AF7">
      <w:pPr>
        <w:spacing w:line="480" w:lineRule="auto"/>
        <w:jc w:val="both"/>
        <w:rPr>
          <w:sz w:val="26"/>
        </w:rPr>
        <w:sectPr w:rsidR="00000AF7">
          <w:pgSz w:w="11910" w:h="16850"/>
          <w:pgMar w:top="1500" w:right="1160" w:bottom="2060" w:left="940" w:header="0" w:footer="1774" w:gutter="0"/>
          <w:cols w:space="720"/>
        </w:sectPr>
      </w:pPr>
    </w:p>
    <w:p w14:paraId="769376D3" w14:textId="77777777" w:rsidR="00000AF7" w:rsidRDefault="00614671">
      <w:pPr>
        <w:pStyle w:val="BodyText"/>
        <w:spacing w:before="61" w:line="480" w:lineRule="auto"/>
        <w:ind w:left="2565" w:right="143"/>
        <w:jc w:val="both"/>
      </w:pPr>
      <w:r>
        <w:lastRenderedPageBreak/>
        <w:t>Consultant ignored relevant considerations when compiling the report,</w:t>
      </w:r>
      <w:r>
        <w:rPr>
          <w:spacing w:val="-6"/>
        </w:rPr>
        <w:t xml:space="preserve"> </w:t>
      </w:r>
      <w:r>
        <w:t>then</w:t>
      </w:r>
      <w:r>
        <w:rPr>
          <w:spacing w:val="-11"/>
        </w:rPr>
        <w:t xml:space="preserve"> </w:t>
      </w:r>
      <w:r>
        <w:t>it</w:t>
      </w:r>
      <w:r>
        <w:rPr>
          <w:spacing w:val="-19"/>
        </w:rPr>
        <w:t xml:space="preserve"> </w:t>
      </w:r>
      <w:r>
        <w:t>should</w:t>
      </w:r>
      <w:r>
        <w:rPr>
          <w:spacing w:val="-3"/>
        </w:rPr>
        <w:t xml:space="preserve"> </w:t>
      </w:r>
      <w:r>
        <w:t>have</w:t>
      </w:r>
      <w:r>
        <w:rPr>
          <w:spacing w:val="-11"/>
        </w:rPr>
        <w:t xml:space="preserve"> </w:t>
      </w:r>
      <w:r>
        <w:t>approached</w:t>
      </w:r>
      <w:r>
        <w:rPr>
          <w:spacing w:val="5"/>
        </w:rPr>
        <w:t xml:space="preserve"> </w:t>
      </w:r>
      <w:r>
        <w:t>the</w:t>
      </w:r>
      <w:r>
        <w:rPr>
          <w:spacing w:val="-20"/>
        </w:rPr>
        <w:t xml:space="preserve"> </w:t>
      </w:r>
      <w:r>
        <w:t>Court</w:t>
      </w:r>
      <w:r>
        <w:rPr>
          <w:spacing w:val="-5"/>
        </w:rPr>
        <w:t xml:space="preserve"> </w:t>
      </w:r>
      <w:r>
        <w:t>and</w:t>
      </w:r>
      <w:r>
        <w:rPr>
          <w:spacing w:val="-7"/>
        </w:rPr>
        <w:t xml:space="preserve"> </w:t>
      </w:r>
      <w:r>
        <w:t>sought</w:t>
      </w:r>
      <w:r>
        <w:rPr>
          <w:spacing w:val="-8"/>
        </w:rPr>
        <w:t xml:space="preserve"> </w:t>
      </w:r>
      <w:r>
        <w:t>an</w:t>
      </w:r>
      <w:r>
        <w:rPr>
          <w:spacing w:val="-15"/>
        </w:rPr>
        <w:t xml:space="preserve"> </w:t>
      </w:r>
      <w:r>
        <w:t>order to review and set aside the</w:t>
      </w:r>
      <w:r>
        <w:rPr>
          <w:spacing w:val="6"/>
        </w:rPr>
        <w:t xml:space="preserve"> </w:t>
      </w:r>
      <w:r>
        <w:t>report.</w:t>
      </w:r>
    </w:p>
    <w:p w14:paraId="124263C2" w14:textId="77777777" w:rsidR="00000AF7" w:rsidRDefault="00614671">
      <w:pPr>
        <w:pStyle w:val="ListParagraph"/>
        <w:numPr>
          <w:ilvl w:val="1"/>
          <w:numId w:val="3"/>
        </w:numPr>
        <w:tabs>
          <w:tab w:val="left" w:pos="2575"/>
        </w:tabs>
        <w:spacing w:before="153" w:line="477" w:lineRule="auto"/>
        <w:ind w:left="2573" w:right="133" w:hanging="680"/>
        <w:jc w:val="both"/>
        <w:rPr>
          <w:sz w:val="26"/>
        </w:rPr>
      </w:pPr>
      <w:r>
        <w:rPr>
          <w:sz w:val="26"/>
        </w:rPr>
        <w:t>That the subject matter was a dispute of interest which ought to be dealt with through collective bargaining; consequently, the Court lacked the jurisdiction to grant a mandatory</w:t>
      </w:r>
      <w:r>
        <w:rPr>
          <w:spacing w:val="3"/>
          <w:sz w:val="26"/>
        </w:rPr>
        <w:t xml:space="preserve"> </w:t>
      </w:r>
      <w:r>
        <w:rPr>
          <w:sz w:val="26"/>
        </w:rPr>
        <w:t>interdict.</w:t>
      </w:r>
    </w:p>
    <w:p w14:paraId="17F9BA8F" w14:textId="77777777" w:rsidR="00000AF7" w:rsidRDefault="00614671">
      <w:pPr>
        <w:pStyle w:val="ListParagraph"/>
        <w:numPr>
          <w:ilvl w:val="1"/>
          <w:numId w:val="3"/>
        </w:numPr>
        <w:tabs>
          <w:tab w:val="left" w:pos="2575"/>
        </w:tabs>
        <w:spacing w:before="156" w:line="487" w:lineRule="auto"/>
        <w:ind w:left="2580" w:right="154" w:hanging="687"/>
        <w:jc w:val="both"/>
        <w:rPr>
          <w:b/>
          <w:sz w:val="26"/>
        </w:rPr>
      </w:pPr>
      <w:r>
        <w:rPr>
          <w:sz w:val="26"/>
        </w:rPr>
        <w:t xml:space="preserve">That the relief sought was incongruous with the deed of settlement concluded by the parties under </w:t>
      </w:r>
      <w:r>
        <w:rPr>
          <w:b/>
          <w:sz w:val="26"/>
        </w:rPr>
        <w:t>case no.</w:t>
      </w:r>
      <w:r>
        <w:rPr>
          <w:b/>
          <w:spacing w:val="25"/>
          <w:sz w:val="26"/>
        </w:rPr>
        <w:t xml:space="preserve"> </w:t>
      </w:r>
      <w:r>
        <w:rPr>
          <w:b/>
          <w:sz w:val="26"/>
        </w:rPr>
        <w:t>274/2019.</w:t>
      </w:r>
    </w:p>
    <w:p w14:paraId="6276B273" w14:textId="77777777" w:rsidR="00000AF7" w:rsidRDefault="00614671">
      <w:pPr>
        <w:pStyle w:val="Heading1"/>
        <w:spacing w:before="142"/>
        <w:ind w:firstLine="0"/>
      </w:pPr>
      <w:r>
        <w:t>ANALYSIS OF ARGUMENTS</w:t>
      </w:r>
    </w:p>
    <w:p w14:paraId="7EA8CFF2" w14:textId="77777777" w:rsidR="00000AF7" w:rsidRDefault="00000AF7">
      <w:pPr>
        <w:pStyle w:val="BodyText"/>
        <w:spacing w:before="6"/>
        <w:rPr>
          <w:b/>
          <w:sz w:val="38"/>
        </w:rPr>
      </w:pPr>
    </w:p>
    <w:p w14:paraId="2D3E85E1" w14:textId="77777777" w:rsidR="00000AF7" w:rsidRDefault="00614671">
      <w:pPr>
        <w:spacing w:before="1" w:line="482" w:lineRule="auto"/>
        <w:ind w:left="1904" w:right="107" w:hanging="687"/>
        <w:jc w:val="both"/>
        <w:rPr>
          <w:sz w:val="26"/>
        </w:rPr>
      </w:pPr>
      <w:r>
        <w:rPr>
          <w:sz w:val="26"/>
        </w:rPr>
        <w:t>[1</w:t>
      </w:r>
      <w:r>
        <w:rPr>
          <w:sz w:val="25"/>
        </w:rPr>
        <w:t xml:space="preserve">O] </w:t>
      </w:r>
      <w:r>
        <w:rPr>
          <w:sz w:val="26"/>
        </w:rPr>
        <w:t xml:space="preserve">The Applicant forcefully replied the Respondent's  points in </w:t>
      </w:r>
      <w:r>
        <w:rPr>
          <w:i/>
          <w:sz w:val="25"/>
        </w:rPr>
        <w:t xml:space="preserve">limine  </w:t>
      </w:r>
      <w:r>
        <w:rPr>
          <w:sz w:val="26"/>
        </w:rPr>
        <w:t>firstly by arguing that having failed to r</w:t>
      </w:r>
      <w:r>
        <w:rPr>
          <w:sz w:val="26"/>
        </w:rPr>
        <w:t xml:space="preserve">aise the points at CMAC; the Respondent was not entitled to do so for the first time in Court. We were referred to the case </w:t>
      </w:r>
      <w:r>
        <w:rPr>
          <w:b/>
          <w:sz w:val="26"/>
        </w:rPr>
        <w:t xml:space="preserve">ofThabo Mgadlela Dlamini v Civil Service Commission and 3 others (98/2019) SZIC 41 [30 April 2019], </w:t>
      </w:r>
      <w:r>
        <w:rPr>
          <w:sz w:val="26"/>
        </w:rPr>
        <w:t>where the Court held that a prel</w:t>
      </w:r>
      <w:r>
        <w:rPr>
          <w:sz w:val="26"/>
        </w:rPr>
        <w:t>iminary objection relating to prescription of the cause of action should be</w:t>
      </w:r>
      <w:r>
        <w:rPr>
          <w:spacing w:val="-17"/>
          <w:sz w:val="26"/>
        </w:rPr>
        <w:t xml:space="preserve"> </w:t>
      </w:r>
      <w:r>
        <w:rPr>
          <w:sz w:val="26"/>
        </w:rPr>
        <w:t>raised</w:t>
      </w:r>
      <w:r>
        <w:rPr>
          <w:spacing w:val="-9"/>
          <w:sz w:val="26"/>
        </w:rPr>
        <w:t xml:space="preserve"> </w:t>
      </w:r>
      <w:r>
        <w:rPr>
          <w:sz w:val="26"/>
        </w:rPr>
        <w:t>at</w:t>
      </w:r>
      <w:r>
        <w:rPr>
          <w:spacing w:val="-10"/>
          <w:sz w:val="26"/>
        </w:rPr>
        <w:t xml:space="preserve"> </w:t>
      </w:r>
      <w:r>
        <w:rPr>
          <w:sz w:val="26"/>
        </w:rPr>
        <w:t>CMAC</w:t>
      </w:r>
      <w:r>
        <w:rPr>
          <w:spacing w:val="1"/>
          <w:sz w:val="26"/>
        </w:rPr>
        <w:t xml:space="preserve"> </w:t>
      </w:r>
      <w:r>
        <w:rPr>
          <w:sz w:val="26"/>
        </w:rPr>
        <w:t>failing</w:t>
      </w:r>
      <w:r>
        <w:rPr>
          <w:spacing w:val="-13"/>
          <w:sz w:val="26"/>
        </w:rPr>
        <w:t xml:space="preserve"> </w:t>
      </w:r>
      <w:r>
        <w:rPr>
          <w:sz w:val="26"/>
        </w:rPr>
        <w:t>which</w:t>
      </w:r>
      <w:r>
        <w:rPr>
          <w:spacing w:val="-15"/>
          <w:sz w:val="26"/>
        </w:rPr>
        <w:t xml:space="preserve"> </w:t>
      </w:r>
      <w:r>
        <w:rPr>
          <w:sz w:val="26"/>
        </w:rPr>
        <w:t>a</w:t>
      </w:r>
      <w:r>
        <w:rPr>
          <w:spacing w:val="-22"/>
          <w:sz w:val="26"/>
        </w:rPr>
        <w:t xml:space="preserve"> </w:t>
      </w:r>
      <w:r>
        <w:rPr>
          <w:sz w:val="26"/>
        </w:rPr>
        <w:t>party</w:t>
      </w:r>
      <w:r>
        <w:rPr>
          <w:spacing w:val="-7"/>
          <w:sz w:val="26"/>
        </w:rPr>
        <w:t xml:space="preserve"> </w:t>
      </w:r>
      <w:r>
        <w:rPr>
          <w:sz w:val="26"/>
        </w:rPr>
        <w:t>was</w:t>
      </w:r>
      <w:r>
        <w:rPr>
          <w:spacing w:val="-3"/>
          <w:sz w:val="26"/>
        </w:rPr>
        <w:t xml:space="preserve"> </w:t>
      </w:r>
      <w:r>
        <w:rPr>
          <w:sz w:val="26"/>
        </w:rPr>
        <w:t>barred</w:t>
      </w:r>
      <w:r>
        <w:rPr>
          <w:spacing w:val="-11"/>
          <w:sz w:val="26"/>
        </w:rPr>
        <w:t xml:space="preserve"> </w:t>
      </w:r>
      <w:r>
        <w:rPr>
          <w:sz w:val="26"/>
        </w:rPr>
        <w:t>from</w:t>
      </w:r>
      <w:r>
        <w:rPr>
          <w:spacing w:val="-7"/>
          <w:sz w:val="26"/>
        </w:rPr>
        <w:t xml:space="preserve"> </w:t>
      </w:r>
      <w:r>
        <w:rPr>
          <w:sz w:val="26"/>
        </w:rPr>
        <w:t>raising</w:t>
      </w:r>
      <w:r>
        <w:rPr>
          <w:spacing w:val="-6"/>
          <w:sz w:val="26"/>
        </w:rPr>
        <w:t xml:space="preserve"> </w:t>
      </w:r>
      <w:r>
        <w:rPr>
          <w:sz w:val="26"/>
        </w:rPr>
        <w:t>that</w:t>
      </w:r>
      <w:r>
        <w:rPr>
          <w:spacing w:val="-8"/>
          <w:sz w:val="26"/>
        </w:rPr>
        <w:t xml:space="preserve"> </w:t>
      </w:r>
      <w:r>
        <w:rPr>
          <w:sz w:val="26"/>
        </w:rPr>
        <w:t>point in</w:t>
      </w:r>
      <w:r>
        <w:rPr>
          <w:spacing w:val="6"/>
          <w:sz w:val="26"/>
        </w:rPr>
        <w:t xml:space="preserve"> </w:t>
      </w:r>
      <w:r>
        <w:rPr>
          <w:sz w:val="26"/>
        </w:rPr>
        <w:t>Court.</w:t>
      </w:r>
    </w:p>
    <w:p w14:paraId="52A2D218" w14:textId="77777777" w:rsidR="00000AF7" w:rsidRDefault="00614671">
      <w:pPr>
        <w:pStyle w:val="ListParagraph"/>
        <w:numPr>
          <w:ilvl w:val="0"/>
          <w:numId w:val="2"/>
        </w:numPr>
        <w:tabs>
          <w:tab w:val="left" w:pos="1920"/>
        </w:tabs>
        <w:spacing w:before="147" w:line="475" w:lineRule="auto"/>
        <w:ind w:right="113" w:hanging="684"/>
        <w:jc w:val="both"/>
        <w:rPr>
          <w:sz w:val="26"/>
        </w:rPr>
      </w:pPr>
      <w:r>
        <w:rPr>
          <w:sz w:val="25"/>
        </w:rPr>
        <w:t xml:space="preserve">It </w:t>
      </w:r>
      <w:r>
        <w:rPr>
          <w:sz w:val="26"/>
        </w:rPr>
        <w:t xml:space="preserve">was also contended by the Applicant that all the points in </w:t>
      </w:r>
      <w:r>
        <w:rPr>
          <w:i/>
          <w:sz w:val="25"/>
        </w:rPr>
        <w:t xml:space="preserve">limine </w:t>
      </w:r>
      <w:r>
        <w:rPr>
          <w:sz w:val="26"/>
        </w:rPr>
        <w:t>were vitiated by the deed of settlement signed by the parties. According to the agreement,</w:t>
      </w:r>
      <w:r>
        <w:rPr>
          <w:spacing w:val="57"/>
          <w:sz w:val="26"/>
        </w:rPr>
        <w:t xml:space="preserve"> </w:t>
      </w:r>
      <w:r>
        <w:rPr>
          <w:sz w:val="26"/>
        </w:rPr>
        <w:t>either</w:t>
      </w:r>
      <w:r>
        <w:rPr>
          <w:spacing w:val="60"/>
          <w:sz w:val="26"/>
        </w:rPr>
        <w:t xml:space="preserve"> </w:t>
      </w:r>
      <w:r>
        <w:rPr>
          <w:sz w:val="26"/>
        </w:rPr>
        <w:t>party</w:t>
      </w:r>
      <w:r>
        <w:rPr>
          <w:spacing w:val="41"/>
          <w:sz w:val="26"/>
        </w:rPr>
        <w:t xml:space="preserve"> </w:t>
      </w:r>
      <w:r>
        <w:rPr>
          <w:sz w:val="26"/>
        </w:rPr>
        <w:t>had</w:t>
      </w:r>
      <w:r>
        <w:rPr>
          <w:spacing w:val="42"/>
          <w:sz w:val="26"/>
        </w:rPr>
        <w:t xml:space="preserve"> </w:t>
      </w:r>
      <w:r>
        <w:rPr>
          <w:sz w:val="26"/>
        </w:rPr>
        <w:t>a</w:t>
      </w:r>
      <w:r>
        <w:rPr>
          <w:spacing w:val="36"/>
          <w:sz w:val="26"/>
        </w:rPr>
        <w:t xml:space="preserve"> </w:t>
      </w:r>
      <w:r>
        <w:rPr>
          <w:sz w:val="26"/>
        </w:rPr>
        <w:t>right</w:t>
      </w:r>
      <w:r>
        <w:rPr>
          <w:spacing w:val="45"/>
          <w:sz w:val="26"/>
        </w:rPr>
        <w:t xml:space="preserve"> </w:t>
      </w:r>
      <w:r>
        <w:rPr>
          <w:sz w:val="26"/>
        </w:rPr>
        <w:t>to</w:t>
      </w:r>
      <w:r>
        <w:rPr>
          <w:spacing w:val="53"/>
          <w:sz w:val="26"/>
        </w:rPr>
        <w:t xml:space="preserve"> </w:t>
      </w:r>
      <w:r>
        <w:rPr>
          <w:sz w:val="26"/>
        </w:rPr>
        <w:t>invoke</w:t>
      </w:r>
      <w:r>
        <w:rPr>
          <w:spacing w:val="47"/>
          <w:sz w:val="26"/>
        </w:rPr>
        <w:t xml:space="preserve"> </w:t>
      </w:r>
      <w:r>
        <w:rPr>
          <w:b/>
          <w:sz w:val="26"/>
        </w:rPr>
        <w:t>Clause</w:t>
      </w:r>
      <w:r>
        <w:rPr>
          <w:b/>
          <w:spacing w:val="47"/>
          <w:sz w:val="26"/>
        </w:rPr>
        <w:t xml:space="preserve"> </w:t>
      </w:r>
      <w:r>
        <w:rPr>
          <w:b/>
          <w:sz w:val="26"/>
        </w:rPr>
        <w:t>17</w:t>
      </w:r>
      <w:r>
        <w:rPr>
          <w:b/>
          <w:spacing w:val="56"/>
          <w:sz w:val="26"/>
        </w:rPr>
        <w:t xml:space="preserve"> </w:t>
      </w:r>
      <w:r>
        <w:rPr>
          <w:sz w:val="26"/>
        </w:rPr>
        <w:t>of</w:t>
      </w:r>
      <w:r>
        <w:rPr>
          <w:spacing w:val="45"/>
          <w:sz w:val="26"/>
        </w:rPr>
        <w:t xml:space="preserve"> </w:t>
      </w:r>
      <w:r>
        <w:rPr>
          <w:sz w:val="26"/>
        </w:rPr>
        <w:t>the</w:t>
      </w:r>
      <w:r>
        <w:rPr>
          <w:spacing w:val="42"/>
          <w:sz w:val="26"/>
        </w:rPr>
        <w:t xml:space="preserve"> </w:t>
      </w:r>
      <w:r>
        <w:rPr>
          <w:sz w:val="26"/>
        </w:rPr>
        <w:t>TORs</w:t>
      </w:r>
    </w:p>
    <w:p w14:paraId="4B62B5E4" w14:textId="77777777" w:rsidR="00000AF7" w:rsidRDefault="00000AF7">
      <w:pPr>
        <w:spacing w:line="475" w:lineRule="auto"/>
        <w:jc w:val="both"/>
        <w:rPr>
          <w:sz w:val="26"/>
        </w:rPr>
        <w:sectPr w:rsidR="00000AF7">
          <w:pgSz w:w="11910" w:h="16850"/>
          <w:pgMar w:top="1520" w:right="1160" w:bottom="2060" w:left="940" w:header="0" w:footer="1774" w:gutter="0"/>
          <w:cols w:space="720"/>
        </w:sectPr>
      </w:pPr>
    </w:p>
    <w:p w14:paraId="24E8B722" w14:textId="77777777" w:rsidR="00000AF7" w:rsidRDefault="00614671">
      <w:pPr>
        <w:spacing w:before="67" w:line="501" w:lineRule="auto"/>
        <w:ind w:left="1822" w:right="203" w:hanging="1"/>
        <w:jc w:val="both"/>
        <w:rPr>
          <w:sz w:val="25"/>
        </w:rPr>
      </w:pPr>
      <w:r>
        <w:rPr>
          <w:w w:val="105"/>
          <w:sz w:val="25"/>
        </w:rPr>
        <w:lastRenderedPageBreak/>
        <w:t>reporting a dispute to C</w:t>
      </w:r>
      <w:r>
        <w:rPr>
          <w:w w:val="105"/>
          <w:sz w:val="25"/>
        </w:rPr>
        <w:t xml:space="preserve">MAC; consequently, the Respondent was not legally entitled to seek to deviate from the binding TORs and/or Court Order granted under </w:t>
      </w:r>
      <w:r>
        <w:rPr>
          <w:b/>
          <w:w w:val="105"/>
          <w:sz w:val="25"/>
        </w:rPr>
        <w:t xml:space="preserve">Case no. 274/2019. </w:t>
      </w:r>
      <w:r>
        <w:rPr>
          <w:w w:val="105"/>
          <w:sz w:val="25"/>
        </w:rPr>
        <w:t>In any event, TORs and Court Order conferred a clear right upon the Applicant to approach the Court pursuant to the issuance of the certificate of unresolved dispute, which confers jurisdiction upon the Court.</w:t>
      </w:r>
    </w:p>
    <w:p w14:paraId="0EC65BE3" w14:textId="77777777" w:rsidR="00000AF7" w:rsidRDefault="00614671">
      <w:pPr>
        <w:pStyle w:val="ListParagraph"/>
        <w:numPr>
          <w:ilvl w:val="0"/>
          <w:numId w:val="2"/>
        </w:numPr>
        <w:tabs>
          <w:tab w:val="left" w:pos="1826"/>
        </w:tabs>
        <w:spacing w:before="153" w:line="499" w:lineRule="auto"/>
        <w:ind w:left="1832" w:right="194" w:hanging="613"/>
        <w:jc w:val="both"/>
        <w:rPr>
          <w:b/>
          <w:sz w:val="25"/>
        </w:rPr>
      </w:pPr>
      <w:r>
        <w:rPr>
          <w:w w:val="105"/>
          <w:sz w:val="25"/>
        </w:rPr>
        <w:t>In</w:t>
      </w:r>
      <w:r>
        <w:rPr>
          <w:spacing w:val="-13"/>
          <w:w w:val="105"/>
          <w:sz w:val="25"/>
        </w:rPr>
        <w:t xml:space="preserve"> </w:t>
      </w:r>
      <w:r>
        <w:rPr>
          <w:w w:val="105"/>
          <w:sz w:val="25"/>
        </w:rPr>
        <w:t>the</w:t>
      </w:r>
      <w:r>
        <w:rPr>
          <w:spacing w:val="-24"/>
          <w:w w:val="105"/>
          <w:sz w:val="25"/>
        </w:rPr>
        <w:t xml:space="preserve"> </w:t>
      </w:r>
      <w:r>
        <w:rPr>
          <w:w w:val="105"/>
          <w:sz w:val="25"/>
        </w:rPr>
        <w:t>case</w:t>
      </w:r>
      <w:r>
        <w:rPr>
          <w:spacing w:val="-24"/>
          <w:w w:val="105"/>
          <w:sz w:val="25"/>
        </w:rPr>
        <w:t xml:space="preserve"> </w:t>
      </w:r>
      <w:r>
        <w:rPr>
          <w:b/>
          <w:w w:val="105"/>
          <w:sz w:val="25"/>
        </w:rPr>
        <w:t>ofThabo</w:t>
      </w:r>
      <w:r>
        <w:rPr>
          <w:b/>
          <w:spacing w:val="-16"/>
          <w:w w:val="105"/>
          <w:sz w:val="25"/>
        </w:rPr>
        <w:t xml:space="preserve"> </w:t>
      </w:r>
      <w:r>
        <w:rPr>
          <w:b/>
          <w:w w:val="105"/>
          <w:sz w:val="25"/>
        </w:rPr>
        <w:t>Mgadlela</w:t>
      </w:r>
      <w:r>
        <w:rPr>
          <w:b/>
          <w:spacing w:val="1"/>
          <w:w w:val="105"/>
          <w:sz w:val="25"/>
        </w:rPr>
        <w:t xml:space="preserve"> </w:t>
      </w:r>
      <w:r>
        <w:rPr>
          <w:b/>
          <w:w w:val="105"/>
          <w:sz w:val="25"/>
        </w:rPr>
        <w:t>Dlamini</w:t>
      </w:r>
      <w:r>
        <w:rPr>
          <w:b/>
          <w:spacing w:val="-2"/>
          <w:w w:val="105"/>
          <w:sz w:val="25"/>
        </w:rPr>
        <w:t xml:space="preserve"> </w:t>
      </w:r>
      <w:r>
        <w:rPr>
          <w:b/>
          <w:w w:val="105"/>
          <w:sz w:val="25"/>
        </w:rPr>
        <w:t>v</w:t>
      </w:r>
      <w:r>
        <w:rPr>
          <w:b/>
          <w:spacing w:val="-24"/>
          <w:w w:val="105"/>
          <w:sz w:val="25"/>
        </w:rPr>
        <w:t xml:space="preserve"> </w:t>
      </w:r>
      <w:r>
        <w:rPr>
          <w:b/>
          <w:w w:val="105"/>
          <w:sz w:val="25"/>
        </w:rPr>
        <w:t>Civil</w:t>
      </w:r>
      <w:r>
        <w:rPr>
          <w:b/>
          <w:spacing w:val="-13"/>
          <w:w w:val="105"/>
          <w:sz w:val="25"/>
        </w:rPr>
        <w:t xml:space="preserve"> </w:t>
      </w:r>
      <w:r>
        <w:rPr>
          <w:b/>
          <w:w w:val="105"/>
          <w:sz w:val="25"/>
        </w:rPr>
        <w:t>S</w:t>
      </w:r>
      <w:r>
        <w:rPr>
          <w:b/>
          <w:w w:val="105"/>
          <w:sz w:val="25"/>
        </w:rPr>
        <w:t>ervice</w:t>
      </w:r>
      <w:r>
        <w:rPr>
          <w:b/>
          <w:spacing w:val="-6"/>
          <w:w w:val="105"/>
          <w:sz w:val="25"/>
        </w:rPr>
        <w:t xml:space="preserve"> </w:t>
      </w:r>
      <w:r>
        <w:rPr>
          <w:b/>
          <w:w w:val="105"/>
          <w:sz w:val="25"/>
        </w:rPr>
        <w:t>Commission</w:t>
      </w:r>
      <w:r>
        <w:rPr>
          <w:b/>
          <w:spacing w:val="6"/>
          <w:w w:val="105"/>
          <w:sz w:val="25"/>
        </w:rPr>
        <w:t xml:space="preserve"> </w:t>
      </w:r>
      <w:r>
        <w:rPr>
          <w:b/>
          <w:w w:val="105"/>
          <w:sz w:val="25"/>
        </w:rPr>
        <w:t xml:space="preserve">and 3 others (supra), </w:t>
      </w:r>
      <w:r>
        <w:rPr>
          <w:w w:val="105"/>
          <w:sz w:val="25"/>
        </w:rPr>
        <w:t xml:space="preserve">the Court embraced the reasoning and conclusion of the Industrial Court of Appeal in the case of </w:t>
      </w:r>
      <w:r>
        <w:rPr>
          <w:b/>
          <w:w w:val="105"/>
          <w:sz w:val="25"/>
        </w:rPr>
        <w:t xml:space="preserve">John Kunene v The Attorney General (02/16) [2016] SZICA 08 (14 October 2016). </w:t>
      </w:r>
      <w:r>
        <w:rPr>
          <w:w w:val="105"/>
          <w:sz w:val="25"/>
        </w:rPr>
        <w:t>The principle enunciated</w:t>
      </w:r>
      <w:r>
        <w:rPr>
          <w:spacing w:val="-3"/>
          <w:w w:val="105"/>
          <w:sz w:val="25"/>
        </w:rPr>
        <w:t xml:space="preserve"> </w:t>
      </w:r>
      <w:r>
        <w:rPr>
          <w:w w:val="105"/>
          <w:sz w:val="25"/>
        </w:rPr>
        <w:t>in</w:t>
      </w:r>
      <w:r>
        <w:rPr>
          <w:spacing w:val="-28"/>
          <w:w w:val="105"/>
          <w:sz w:val="25"/>
        </w:rPr>
        <w:t xml:space="preserve"> </w:t>
      </w:r>
      <w:r>
        <w:rPr>
          <w:b/>
          <w:w w:val="105"/>
          <w:sz w:val="25"/>
        </w:rPr>
        <w:t>John</w:t>
      </w:r>
      <w:r>
        <w:rPr>
          <w:b/>
          <w:spacing w:val="-28"/>
          <w:w w:val="105"/>
          <w:sz w:val="25"/>
        </w:rPr>
        <w:t xml:space="preserve"> </w:t>
      </w:r>
      <w:r>
        <w:rPr>
          <w:b/>
          <w:w w:val="105"/>
          <w:sz w:val="25"/>
        </w:rPr>
        <w:t>Kunene</w:t>
      </w:r>
      <w:r>
        <w:rPr>
          <w:b/>
          <w:spacing w:val="-13"/>
          <w:w w:val="105"/>
          <w:sz w:val="25"/>
        </w:rPr>
        <w:t xml:space="preserve"> </w:t>
      </w:r>
      <w:r>
        <w:rPr>
          <w:b/>
          <w:w w:val="105"/>
          <w:sz w:val="25"/>
        </w:rPr>
        <w:t>(</w:t>
      </w:r>
      <w:r>
        <w:rPr>
          <w:b/>
          <w:w w:val="105"/>
          <w:sz w:val="25"/>
        </w:rPr>
        <w:t>supra)</w:t>
      </w:r>
      <w:r>
        <w:rPr>
          <w:b/>
          <w:spacing w:val="-21"/>
          <w:w w:val="105"/>
          <w:sz w:val="25"/>
        </w:rPr>
        <w:t xml:space="preserve"> </w:t>
      </w:r>
      <w:r>
        <w:rPr>
          <w:w w:val="105"/>
          <w:sz w:val="25"/>
        </w:rPr>
        <w:t>was</w:t>
      </w:r>
      <w:r>
        <w:rPr>
          <w:spacing w:val="-18"/>
          <w:w w:val="105"/>
          <w:sz w:val="25"/>
        </w:rPr>
        <w:t xml:space="preserve"> </w:t>
      </w:r>
      <w:r>
        <w:rPr>
          <w:w w:val="105"/>
          <w:sz w:val="25"/>
        </w:rPr>
        <w:t>confirmed</w:t>
      </w:r>
      <w:r>
        <w:rPr>
          <w:spacing w:val="-9"/>
          <w:w w:val="105"/>
          <w:sz w:val="25"/>
        </w:rPr>
        <w:t xml:space="preserve"> </w:t>
      </w:r>
      <w:r>
        <w:rPr>
          <w:w w:val="105"/>
          <w:sz w:val="25"/>
        </w:rPr>
        <w:t>by</w:t>
      </w:r>
      <w:r>
        <w:rPr>
          <w:spacing w:val="-21"/>
          <w:w w:val="105"/>
          <w:sz w:val="25"/>
        </w:rPr>
        <w:t xml:space="preserve"> </w:t>
      </w:r>
      <w:r>
        <w:rPr>
          <w:w w:val="105"/>
          <w:sz w:val="25"/>
        </w:rPr>
        <w:t>the</w:t>
      </w:r>
      <w:r>
        <w:rPr>
          <w:spacing w:val="-26"/>
          <w:w w:val="105"/>
          <w:sz w:val="25"/>
        </w:rPr>
        <w:t xml:space="preserve"> </w:t>
      </w:r>
      <w:r>
        <w:rPr>
          <w:w w:val="105"/>
          <w:sz w:val="25"/>
        </w:rPr>
        <w:t>Industrial</w:t>
      </w:r>
      <w:r>
        <w:rPr>
          <w:spacing w:val="-14"/>
          <w:w w:val="105"/>
          <w:sz w:val="25"/>
        </w:rPr>
        <w:t xml:space="preserve"> </w:t>
      </w:r>
      <w:r>
        <w:rPr>
          <w:w w:val="105"/>
          <w:sz w:val="25"/>
        </w:rPr>
        <w:t xml:space="preserve">Court of Appeal in the case of </w:t>
      </w:r>
      <w:r>
        <w:rPr>
          <w:b/>
          <w:w w:val="105"/>
          <w:sz w:val="25"/>
        </w:rPr>
        <w:t>The Attorney General v Brian Mahommed (13/2019) [2020] (8</w:t>
      </w:r>
      <w:r>
        <w:rPr>
          <w:b/>
          <w:w w:val="105"/>
          <w:position w:val="9"/>
          <w:sz w:val="18"/>
        </w:rPr>
        <w:t xml:space="preserve">th </w:t>
      </w:r>
      <w:r>
        <w:rPr>
          <w:b/>
          <w:w w:val="105"/>
          <w:sz w:val="25"/>
        </w:rPr>
        <w:t>May</w:t>
      </w:r>
      <w:r>
        <w:rPr>
          <w:b/>
          <w:spacing w:val="11"/>
          <w:w w:val="105"/>
          <w:sz w:val="25"/>
        </w:rPr>
        <w:t xml:space="preserve"> </w:t>
      </w:r>
      <w:r>
        <w:rPr>
          <w:b/>
          <w:w w:val="105"/>
          <w:sz w:val="25"/>
        </w:rPr>
        <w:t>2020).</w:t>
      </w:r>
    </w:p>
    <w:p w14:paraId="6ABFC058" w14:textId="77777777" w:rsidR="00000AF7" w:rsidRDefault="00614671">
      <w:pPr>
        <w:pStyle w:val="ListParagraph"/>
        <w:numPr>
          <w:ilvl w:val="0"/>
          <w:numId w:val="2"/>
        </w:numPr>
        <w:tabs>
          <w:tab w:val="left" w:pos="1850"/>
        </w:tabs>
        <w:spacing w:before="153" w:line="501" w:lineRule="auto"/>
        <w:ind w:left="1854" w:right="165" w:hanging="679"/>
        <w:jc w:val="both"/>
        <w:rPr>
          <w:sz w:val="25"/>
        </w:rPr>
      </w:pPr>
      <w:r>
        <w:rPr>
          <w:w w:val="105"/>
          <w:sz w:val="25"/>
        </w:rPr>
        <w:t xml:space="preserve">Nevertheless, in the case of </w:t>
      </w:r>
      <w:r>
        <w:rPr>
          <w:b/>
          <w:w w:val="105"/>
          <w:sz w:val="25"/>
        </w:rPr>
        <w:t>Inyatsi Construction Group Holdings Limited</w:t>
      </w:r>
      <w:r>
        <w:rPr>
          <w:b/>
          <w:spacing w:val="-12"/>
          <w:w w:val="105"/>
          <w:sz w:val="25"/>
        </w:rPr>
        <w:t xml:space="preserve"> </w:t>
      </w:r>
      <w:r>
        <w:rPr>
          <w:b/>
          <w:w w:val="105"/>
          <w:sz w:val="25"/>
        </w:rPr>
        <w:t>v</w:t>
      </w:r>
      <w:r>
        <w:rPr>
          <w:b/>
          <w:spacing w:val="-19"/>
          <w:w w:val="105"/>
          <w:sz w:val="25"/>
        </w:rPr>
        <w:t xml:space="preserve"> </w:t>
      </w:r>
      <w:r>
        <w:rPr>
          <w:b/>
          <w:w w:val="105"/>
          <w:sz w:val="25"/>
        </w:rPr>
        <w:t>David</w:t>
      </w:r>
      <w:r>
        <w:rPr>
          <w:b/>
          <w:spacing w:val="-10"/>
          <w:w w:val="105"/>
          <w:sz w:val="25"/>
        </w:rPr>
        <w:t xml:space="preserve"> </w:t>
      </w:r>
      <w:r>
        <w:rPr>
          <w:b/>
          <w:w w:val="105"/>
          <w:sz w:val="25"/>
        </w:rPr>
        <w:t>Roberts</w:t>
      </w:r>
      <w:r>
        <w:rPr>
          <w:b/>
          <w:spacing w:val="-19"/>
          <w:w w:val="105"/>
          <w:sz w:val="25"/>
        </w:rPr>
        <w:t xml:space="preserve"> </w:t>
      </w:r>
      <w:r>
        <w:rPr>
          <w:b/>
          <w:w w:val="105"/>
          <w:sz w:val="25"/>
        </w:rPr>
        <w:t>and</w:t>
      </w:r>
      <w:r>
        <w:rPr>
          <w:b/>
          <w:spacing w:val="-14"/>
          <w:w w:val="105"/>
          <w:sz w:val="25"/>
        </w:rPr>
        <w:t xml:space="preserve"> </w:t>
      </w:r>
      <w:r>
        <w:rPr>
          <w:b/>
          <w:w w:val="105"/>
          <w:sz w:val="25"/>
        </w:rPr>
        <w:t>another</w:t>
      </w:r>
      <w:r>
        <w:rPr>
          <w:b/>
          <w:spacing w:val="-20"/>
          <w:w w:val="105"/>
          <w:sz w:val="25"/>
        </w:rPr>
        <w:t xml:space="preserve"> </w:t>
      </w:r>
      <w:r>
        <w:rPr>
          <w:b/>
          <w:w w:val="105"/>
          <w:sz w:val="25"/>
        </w:rPr>
        <w:t>(19/2020)</w:t>
      </w:r>
      <w:r>
        <w:rPr>
          <w:b/>
          <w:spacing w:val="-16"/>
          <w:w w:val="105"/>
          <w:sz w:val="25"/>
        </w:rPr>
        <w:t xml:space="preserve"> </w:t>
      </w:r>
      <w:r>
        <w:rPr>
          <w:b/>
          <w:w w:val="105"/>
          <w:sz w:val="25"/>
        </w:rPr>
        <w:t>[2020]</w:t>
      </w:r>
      <w:r>
        <w:rPr>
          <w:b/>
          <w:spacing w:val="-27"/>
          <w:w w:val="105"/>
          <w:sz w:val="25"/>
        </w:rPr>
        <w:t xml:space="preserve"> </w:t>
      </w:r>
      <w:r>
        <w:rPr>
          <w:b/>
          <w:w w:val="105"/>
          <w:sz w:val="25"/>
        </w:rPr>
        <w:t>SZICA</w:t>
      </w:r>
      <w:r>
        <w:rPr>
          <w:b/>
          <w:spacing w:val="-12"/>
          <w:w w:val="105"/>
          <w:sz w:val="25"/>
        </w:rPr>
        <w:t xml:space="preserve"> </w:t>
      </w:r>
      <w:r>
        <w:rPr>
          <w:b/>
          <w:w w:val="105"/>
          <w:sz w:val="25"/>
        </w:rPr>
        <w:t>04</w:t>
      </w:r>
      <w:r>
        <w:rPr>
          <w:b/>
          <w:spacing w:val="-20"/>
          <w:w w:val="105"/>
          <w:sz w:val="25"/>
        </w:rPr>
        <w:t xml:space="preserve"> </w:t>
      </w:r>
      <w:r>
        <w:rPr>
          <w:b/>
          <w:w w:val="105"/>
          <w:sz w:val="25"/>
        </w:rPr>
        <w:t>(July 2021),</w:t>
      </w:r>
      <w:r>
        <w:rPr>
          <w:b/>
          <w:spacing w:val="-8"/>
          <w:w w:val="105"/>
          <w:sz w:val="25"/>
        </w:rPr>
        <w:t xml:space="preserve"> </w:t>
      </w:r>
      <w:r>
        <w:rPr>
          <w:w w:val="105"/>
          <w:sz w:val="25"/>
        </w:rPr>
        <w:t>the</w:t>
      </w:r>
      <w:r>
        <w:rPr>
          <w:spacing w:val="-22"/>
          <w:w w:val="105"/>
          <w:sz w:val="25"/>
        </w:rPr>
        <w:t xml:space="preserve"> </w:t>
      </w:r>
      <w:r>
        <w:rPr>
          <w:w w:val="105"/>
          <w:sz w:val="25"/>
        </w:rPr>
        <w:t>Industrial</w:t>
      </w:r>
      <w:r>
        <w:rPr>
          <w:spacing w:val="-9"/>
          <w:w w:val="105"/>
          <w:sz w:val="25"/>
        </w:rPr>
        <w:t xml:space="preserve"> </w:t>
      </w:r>
      <w:r>
        <w:rPr>
          <w:w w:val="105"/>
          <w:sz w:val="25"/>
        </w:rPr>
        <w:t>Court</w:t>
      </w:r>
      <w:r>
        <w:rPr>
          <w:spacing w:val="-5"/>
          <w:w w:val="105"/>
          <w:sz w:val="25"/>
        </w:rPr>
        <w:t xml:space="preserve"> </w:t>
      </w:r>
      <w:r>
        <w:rPr>
          <w:w w:val="105"/>
          <w:sz w:val="25"/>
        </w:rPr>
        <w:t>of</w:t>
      </w:r>
      <w:r>
        <w:rPr>
          <w:spacing w:val="-14"/>
          <w:w w:val="105"/>
          <w:sz w:val="25"/>
        </w:rPr>
        <w:t xml:space="preserve"> </w:t>
      </w:r>
      <w:r>
        <w:rPr>
          <w:w w:val="105"/>
          <w:sz w:val="25"/>
        </w:rPr>
        <w:t>Appeal</w:t>
      </w:r>
      <w:r>
        <w:rPr>
          <w:spacing w:val="-3"/>
          <w:w w:val="105"/>
          <w:sz w:val="25"/>
        </w:rPr>
        <w:t xml:space="preserve"> </w:t>
      </w:r>
      <w:r>
        <w:rPr>
          <w:w w:val="105"/>
          <w:sz w:val="25"/>
        </w:rPr>
        <w:t>did</w:t>
      </w:r>
      <w:r>
        <w:rPr>
          <w:spacing w:val="-12"/>
          <w:w w:val="105"/>
          <w:sz w:val="25"/>
        </w:rPr>
        <w:t xml:space="preserve"> </w:t>
      </w:r>
      <w:r>
        <w:rPr>
          <w:w w:val="105"/>
          <w:sz w:val="25"/>
        </w:rPr>
        <w:t>not</w:t>
      </w:r>
      <w:r>
        <w:rPr>
          <w:spacing w:val="-10"/>
          <w:w w:val="105"/>
          <w:sz w:val="25"/>
        </w:rPr>
        <w:t xml:space="preserve"> </w:t>
      </w:r>
      <w:r>
        <w:rPr>
          <w:w w:val="105"/>
          <w:sz w:val="25"/>
        </w:rPr>
        <w:t>follow</w:t>
      </w:r>
      <w:r>
        <w:rPr>
          <w:spacing w:val="-2"/>
          <w:w w:val="105"/>
          <w:sz w:val="25"/>
        </w:rPr>
        <w:t xml:space="preserve"> </w:t>
      </w:r>
      <w:r>
        <w:rPr>
          <w:w w:val="105"/>
          <w:sz w:val="25"/>
        </w:rPr>
        <w:t>its</w:t>
      </w:r>
      <w:r>
        <w:rPr>
          <w:spacing w:val="-8"/>
          <w:w w:val="105"/>
          <w:sz w:val="25"/>
        </w:rPr>
        <w:t xml:space="preserve"> </w:t>
      </w:r>
      <w:r>
        <w:rPr>
          <w:w w:val="105"/>
          <w:sz w:val="25"/>
        </w:rPr>
        <w:t>earlier</w:t>
      </w:r>
      <w:r>
        <w:rPr>
          <w:spacing w:val="-2"/>
          <w:w w:val="105"/>
          <w:sz w:val="25"/>
        </w:rPr>
        <w:t xml:space="preserve"> </w:t>
      </w:r>
      <w:r>
        <w:rPr>
          <w:w w:val="105"/>
          <w:sz w:val="25"/>
        </w:rPr>
        <w:t>decisions</w:t>
      </w:r>
      <w:r>
        <w:rPr>
          <w:spacing w:val="2"/>
          <w:w w:val="105"/>
          <w:sz w:val="25"/>
        </w:rPr>
        <w:t xml:space="preserve"> </w:t>
      </w:r>
      <w:r>
        <w:rPr>
          <w:w w:val="105"/>
          <w:sz w:val="25"/>
        </w:rPr>
        <w:t xml:space="preserve">in </w:t>
      </w:r>
      <w:r>
        <w:rPr>
          <w:b/>
          <w:w w:val="105"/>
          <w:sz w:val="25"/>
        </w:rPr>
        <w:t xml:space="preserve">Thabo Mgadlela Dlamini (supra) </w:t>
      </w:r>
      <w:r>
        <w:rPr>
          <w:w w:val="105"/>
          <w:sz w:val="25"/>
        </w:rPr>
        <w:t xml:space="preserve">and </w:t>
      </w:r>
      <w:r>
        <w:rPr>
          <w:b/>
          <w:w w:val="105"/>
          <w:sz w:val="25"/>
        </w:rPr>
        <w:t xml:space="preserve">John Kunene (supra). </w:t>
      </w:r>
      <w:r>
        <w:rPr>
          <w:w w:val="105"/>
          <w:sz w:val="25"/>
        </w:rPr>
        <w:t>It is not necessary for the Court to determine which of the above decisions of Industrial Court of Appeal is binding on it because in all three cases the question</w:t>
      </w:r>
      <w:r>
        <w:rPr>
          <w:spacing w:val="-5"/>
          <w:w w:val="105"/>
          <w:sz w:val="25"/>
        </w:rPr>
        <w:t xml:space="preserve"> </w:t>
      </w:r>
      <w:r>
        <w:rPr>
          <w:w w:val="105"/>
          <w:sz w:val="25"/>
        </w:rPr>
        <w:t>for</w:t>
      </w:r>
      <w:r>
        <w:rPr>
          <w:spacing w:val="-20"/>
          <w:w w:val="105"/>
          <w:sz w:val="25"/>
        </w:rPr>
        <w:t xml:space="preserve"> </w:t>
      </w:r>
      <w:r>
        <w:rPr>
          <w:w w:val="105"/>
          <w:sz w:val="25"/>
        </w:rPr>
        <w:t>the</w:t>
      </w:r>
      <w:r>
        <w:rPr>
          <w:spacing w:val="-18"/>
          <w:w w:val="105"/>
          <w:sz w:val="25"/>
        </w:rPr>
        <w:t xml:space="preserve"> </w:t>
      </w:r>
      <w:r>
        <w:rPr>
          <w:w w:val="105"/>
          <w:sz w:val="25"/>
        </w:rPr>
        <w:t>determination</w:t>
      </w:r>
      <w:r>
        <w:rPr>
          <w:spacing w:val="-7"/>
          <w:w w:val="105"/>
          <w:sz w:val="25"/>
        </w:rPr>
        <w:t xml:space="preserve"> </w:t>
      </w:r>
      <w:r>
        <w:rPr>
          <w:w w:val="105"/>
          <w:sz w:val="25"/>
        </w:rPr>
        <w:t>was,</w:t>
      </w:r>
      <w:r>
        <w:rPr>
          <w:spacing w:val="-14"/>
          <w:w w:val="105"/>
          <w:sz w:val="25"/>
        </w:rPr>
        <w:t xml:space="preserve"> </w:t>
      </w:r>
      <w:r>
        <w:rPr>
          <w:w w:val="105"/>
          <w:sz w:val="25"/>
        </w:rPr>
        <w:t>at</w:t>
      </w:r>
      <w:r>
        <w:rPr>
          <w:spacing w:val="-20"/>
          <w:w w:val="105"/>
          <w:sz w:val="25"/>
        </w:rPr>
        <w:t xml:space="preserve"> </w:t>
      </w:r>
      <w:r>
        <w:rPr>
          <w:w w:val="105"/>
          <w:sz w:val="25"/>
        </w:rPr>
        <w:t>what</w:t>
      </w:r>
      <w:r>
        <w:rPr>
          <w:spacing w:val="-15"/>
          <w:w w:val="105"/>
          <w:sz w:val="25"/>
        </w:rPr>
        <w:t xml:space="preserve"> </w:t>
      </w:r>
      <w:r>
        <w:rPr>
          <w:w w:val="105"/>
          <w:sz w:val="25"/>
        </w:rPr>
        <w:t>stage</w:t>
      </w:r>
      <w:r>
        <w:rPr>
          <w:spacing w:val="-14"/>
          <w:w w:val="105"/>
          <w:sz w:val="25"/>
        </w:rPr>
        <w:t xml:space="preserve"> </w:t>
      </w:r>
      <w:r>
        <w:rPr>
          <w:w w:val="105"/>
          <w:sz w:val="25"/>
        </w:rPr>
        <w:t>(CMAC</w:t>
      </w:r>
      <w:r>
        <w:rPr>
          <w:spacing w:val="-2"/>
          <w:w w:val="105"/>
          <w:sz w:val="25"/>
        </w:rPr>
        <w:t xml:space="preserve"> </w:t>
      </w:r>
      <w:r>
        <w:rPr>
          <w:w w:val="105"/>
          <w:sz w:val="25"/>
        </w:rPr>
        <w:t>or</w:t>
      </w:r>
      <w:r>
        <w:rPr>
          <w:spacing w:val="-17"/>
          <w:w w:val="105"/>
          <w:sz w:val="25"/>
        </w:rPr>
        <w:t xml:space="preserve"> </w:t>
      </w:r>
      <w:r>
        <w:rPr>
          <w:w w:val="105"/>
          <w:sz w:val="25"/>
        </w:rPr>
        <w:t>Court)</w:t>
      </w:r>
      <w:r>
        <w:rPr>
          <w:spacing w:val="-17"/>
          <w:w w:val="105"/>
          <w:sz w:val="25"/>
        </w:rPr>
        <w:t xml:space="preserve"> </w:t>
      </w:r>
      <w:r>
        <w:rPr>
          <w:w w:val="105"/>
          <w:sz w:val="25"/>
        </w:rPr>
        <w:t>should a party raise the special ple</w:t>
      </w:r>
      <w:r>
        <w:rPr>
          <w:w w:val="105"/>
          <w:sz w:val="25"/>
        </w:rPr>
        <w:t>a of prescription in view of the provisions</w:t>
      </w:r>
      <w:r>
        <w:rPr>
          <w:spacing w:val="18"/>
          <w:w w:val="105"/>
          <w:sz w:val="25"/>
        </w:rPr>
        <w:t xml:space="preserve"> </w:t>
      </w:r>
      <w:r>
        <w:rPr>
          <w:w w:val="105"/>
          <w:sz w:val="25"/>
        </w:rPr>
        <w:t>of</w:t>
      </w:r>
    </w:p>
    <w:p w14:paraId="5942E89A" w14:textId="77777777" w:rsidR="00000AF7" w:rsidRDefault="00000AF7">
      <w:pPr>
        <w:spacing w:line="501" w:lineRule="auto"/>
        <w:jc w:val="both"/>
        <w:rPr>
          <w:sz w:val="25"/>
        </w:rPr>
        <w:sectPr w:rsidR="00000AF7">
          <w:pgSz w:w="11910" w:h="16850"/>
          <w:pgMar w:top="1480" w:right="1160" w:bottom="2080" w:left="940" w:header="0" w:footer="1774" w:gutter="0"/>
          <w:cols w:space="720"/>
        </w:sectPr>
      </w:pPr>
    </w:p>
    <w:p w14:paraId="76E246B7" w14:textId="77777777" w:rsidR="00000AF7" w:rsidRDefault="00614671">
      <w:pPr>
        <w:spacing w:before="74" w:line="482" w:lineRule="auto"/>
        <w:ind w:left="1822" w:hanging="4"/>
        <w:rPr>
          <w:b/>
          <w:sz w:val="25"/>
        </w:rPr>
      </w:pPr>
      <w:r>
        <w:rPr>
          <w:b/>
          <w:w w:val="105"/>
          <w:sz w:val="25"/>
        </w:rPr>
        <w:lastRenderedPageBreak/>
        <w:t xml:space="preserve">Section 76 (2) </w:t>
      </w:r>
      <w:r>
        <w:rPr>
          <w:w w:val="105"/>
          <w:sz w:val="26"/>
        </w:rPr>
        <w:t xml:space="preserve">of the </w:t>
      </w:r>
      <w:r>
        <w:rPr>
          <w:b/>
          <w:w w:val="105"/>
          <w:sz w:val="25"/>
        </w:rPr>
        <w:t>Industrial Relations Act, 2000 (as amended) (the Act).</w:t>
      </w:r>
    </w:p>
    <w:p w14:paraId="61BFD476" w14:textId="77777777" w:rsidR="00000AF7" w:rsidRDefault="00614671">
      <w:pPr>
        <w:pStyle w:val="ListParagraph"/>
        <w:numPr>
          <w:ilvl w:val="0"/>
          <w:numId w:val="2"/>
        </w:numPr>
        <w:tabs>
          <w:tab w:val="left" w:pos="1823"/>
          <w:tab w:val="left" w:pos="1824"/>
        </w:tabs>
        <w:spacing w:before="170" w:line="487" w:lineRule="auto"/>
        <w:ind w:left="1824" w:right="207" w:hanging="686"/>
        <w:jc w:val="left"/>
        <w:rPr>
          <w:sz w:val="26"/>
        </w:rPr>
      </w:pPr>
      <w:r>
        <w:rPr>
          <w:sz w:val="26"/>
        </w:rPr>
        <w:t>There is nothing in the reasoning of the two previous decisions of the Industrial</w:t>
      </w:r>
      <w:r>
        <w:rPr>
          <w:spacing w:val="-6"/>
          <w:sz w:val="26"/>
        </w:rPr>
        <w:t xml:space="preserve"> </w:t>
      </w:r>
      <w:r>
        <w:rPr>
          <w:sz w:val="26"/>
        </w:rPr>
        <w:t>Court</w:t>
      </w:r>
      <w:r>
        <w:rPr>
          <w:spacing w:val="-12"/>
          <w:sz w:val="26"/>
        </w:rPr>
        <w:t xml:space="preserve"> </w:t>
      </w:r>
      <w:r>
        <w:rPr>
          <w:sz w:val="26"/>
        </w:rPr>
        <w:t>of</w:t>
      </w:r>
      <w:r>
        <w:rPr>
          <w:spacing w:val="-20"/>
          <w:sz w:val="26"/>
        </w:rPr>
        <w:t xml:space="preserve"> </w:t>
      </w:r>
      <w:r>
        <w:rPr>
          <w:sz w:val="26"/>
        </w:rPr>
        <w:t>Appeal</w:t>
      </w:r>
      <w:r>
        <w:rPr>
          <w:spacing w:val="-18"/>
          <w:sz w:val="26"/>
        </w:rPr>
        <w:t xml:space="preserve"> </w:t>
      </w:r>
      <w:r>
        <w:rPr>
          <w:sz w:val="26"/>
        </w:rPr>
        <w:t>suggesting</w:t>
      </w:r>
      <w:r>
        <w:rPr>
          <w:spacing w:val="-7"/>
          <w:sz w:val="26"/>
        </w:rPr>
        <w:t xml:space="preserve"> </w:t>
      </w:r>
      <w:r>
        <w:rPr>
          <w:sz w:val="26"/>
        </w:rPr>
        <w:t>that</w:t>
      </w:r>
      <w:r>
        <w:rPr>
          <w:spacing w:val="-15"/>
          <w:sz w:val="26"/>
        </w:rPr>
        <w:t xml:space="preserve"> </w:t>
      </w:r>
      <w:r>
        <w:rPr>
          <w:sz w:val="26"/>
        </w:rPr>
        <w:t>the</w:t>
      </w:r>
      <w:r>
        <w:rPr>
          <w:spacing w:val="-17"/>
          <w:sz w:val="26"/>
        </w:rPr>
        <w:t xml:space="preserve"> </w:t>
      </w:r>
      <w:r>
        <w:rPr>
          <w:sz w:val="26"/>
        </w:rPr>
        <w:t>Higher</w:t>
      </w:r>
      <w:r>
        <w:rPr>
          <w:spacing w:val="-7"/>
          <w:sz w:val="26"/>
        </w:rPr>
        <w:t xml:space="preserve"> </w:t>
      </w:r>
      <w:r>
        <w:rPr>
          <w:sz w:val="26"/>
        </w:rPr>
        <w:t>Court laid</w:t>
      </w:r>
      <w:r>
        <w:rPr>
          <w:spacing w:val="-13"/>
          <w:sz w:val="26"/>
        </w:rPr>
        <w:t xml:space="preserve"> </w:t>
      </w:r>
      <w:r>
        <w:rPr>
          <w:sz w:val="26"/>
        </w:rPr>
        <w:t>a</w:t>
      </w:r>
      <w:r>
        <w:rPr>
          <w:spacing w:val="-18"/>
          <w:sz w:val="26"/>
        </w:rPr>
        <w:t xml:space="preserve"> </w:t>
      </w:r>
      <w:r>
        <w:rPr>
          <w:sz w:val="26"/>
        </w:rPr>
        <w:t>principle</w:t>
      </w:r>
    </w:p>
    <w:p w14:paraId="1746A7FC" w14:textId="77777777" w:rsidR="00000AF7" w:rsidRDefault="00614671">
      <w:pPr>
        <w:pStyle w:val="BodyText"/>
        <w:spacing w:line="482" w:lineRule="auto"/>
        <w:ind w:left="1821" w:right="205" w:firstLine="7"/>
        <w:jc w:val="both"/>
        <w:rPr>
          <w:i/>
          <w:sz w:val="25"/>
        </w:rPr>
      </w:pPr>
      <w:r>
        <w:t xml:space="preserve">that </w:t>
      </w:r>
      <w:r>
        <w:rPr>
          <w:u w:val="thick"/>
        </w:rPr>
        <w:t>any</w:t>
      </w:r>
      <w:r>
        <w:t xml:space="preserve"> point oflaw must be raised at CMAC failing which a party is </w:t>
      </w:r>
      <w:r>
        <w:rPr>
          <w:i/>
          <w:sz w:val="25"/>
        </w:rPr>
        <w:t xml:space="preserve">ipso facto </w:t>
      </w:r>
      <w:r>
        <w:t xml:space="preserve">barred from later raising it in Court. In any event, the onus rests on the Applicant to prove that with full knowledge of its rights, the Respondent waived its right to raise the points in </w:t>
      </w:r>
      <w:r>
        <w:rPr>
          <w:i/>
          <w:sz w:val="25"/>
        </w:rPr>
        <w:t xml:space="preserve">limine. </w:t>
      </w:r>
      <w:r>
        <w:rPr>
          <w:b/>
          <w:sz w:val="25"/>
        </w:rPr>
        <w:t>See: Happiness Ginindza v Peak Timbers Limited  (IC Case No</w:t>
      </w:r>
      <w:r>
        <w:rPr>
          <w:b/>
          <w:sz w:val="25"/>
        </w:rPr>
        <w:t xml:space="preserve">. 80/2007.  </w:t>
      </w:r>
      <w:r>
        <w:t>Since waiver is a question of fact, the Applicant has failed to prove that the Respondent abandoned its right to raise the points in</w:t>
      </w:r>
      <w:r>
        <w:rPr>
          <w:spacing w:val="-46"/>
        </w:rPr>
        <w:t xml:space="preserve"> </w:t>
      </w:r>
      <w:r>
        <w:rPr>
          <w:i/>
          <w:sz w:val="25"/>
        </w:rPr>
        <w:t>limine.</w:t>
      </w:r>
    </w:p>
    <w:p w14:paraId="0CA71E5B" w14:textId="77777777" w:rsidR="00000AF7" w:rsidRDefault="00614671">
      <w:pPr>
        <w:pStyle w:val="ListParagraph"/>
        <w:numPr>
          <w:ilvl w:val="0"/>
          <w:numId w:val="2"/>
        </w:numPr>
        <w:tabs>
          <w:tab w:val="left" w:pos="1882"/>
        </w:tabs>
        <w:spacing w:before="154" w:line="482" w:lineRule="auto"/>
        <w:ind w:left="1830" w:right="194" w:hanging="684"/>
        <w:jc w:val="both"/>
        <w:rPr>
          <w:sz w:val="26"/>
        </w:rPr>
      </w:pPr>
      <w:r>
        <w:rPr>
          <w:rFonts w:ascii="Arial"/>
          <w:sz w:val="24"/>
        </w:rPr>
        <w:t xml:space="preserve">It </w:t>
      </w:r>
      <w:r>
        <w:rPr>
          <w:sz w:val="26"/>
        </w:rPr>
        <w:t xml:space="preserve">must also be understood that an application for determination of an unresolved dispute under </w:t>
      </w:r>
      <w:r>
        <w:rPr>
          <w:b/>
          <w:sz w:val="25"/>
        </w:rPr>
        <w:t>Section</w:t>
      </w:r>
      <w:r>
        <w:rPr>
          <w:b/>
          <w:sz w:val="25"/>
        </w:rPr>
        <w:t xml:space="preserve"> 85 of the Act </w:t>
      </w:r>
      <w:r>
        <w:rPr>
          <w:sz w:val="26"/>
        </w:rPr>
        <w:t xml:space="preserve">is not filed in Court as an appeal or review of the conciliation process to the extent that a party may raise an issue that a point of law is being raised for the first time in Court. </w:t>
      </w:r>
      <w:r>
        <w:rPr>
          <w:rFonts w:ascii="Arial"/>
          <w:sz w:val="24"/>
        </w:rPr>
        <w:t xml:space="preserve">It </w:t>
      </w:r>
      <w:r>
        <w:rPr>
          <w:sz w:val="26"/>
        </w:rPr>
        <w:t xml:space="preserve">is for this reason that </w:t>
      </w:r>
      <w:r>
        <w:rPr>
          <w:b/>
          <w:sz w:val="25"/>
        </w:rPr>
        <w:t xml:space="preserve">Rule 8 (2) (b) </w:t>
      </w:r>
      <w:r>
        <w:rPr>
          <w:sz w:val="26"/>
        </w:rPr>
        <w:t>of the Court pr</w:t>
      </w:r>
      <w:r>
        <w:rPr>
          <w:sz w:val="26"/>
        </w:rPr>
        <w:t>ovides that the Respondent's Reply to the Statement of Claim shall contain, if</w:t>
      </w:r>
      <w:r>
        <w:rPr>
          <w:spacing w:val="31"/>
          <w:sz w:val="26"/>
        </w:rPr>
        <w:t xml:space="preserve"> </w:t>
      </w:r>
      <w:r>
        <w:rPr>
          <w:sz w:val="26"/>
        </w:rPr>
        <w:t>any:</w:t>
      </w:r>
    </w:p>
    <w:p w14:paraId="02443831" w14:textId="77777777" w:rsidR="00000AF7" w:rsidRDefault="00614671">
      <w:pPr>
        <w:spacing w:before="162" w:line="506" w:lineRule="auto"/>
        <w:ind w:left="2521" w:right="191" w:firstLine="10"/>
        <w:jc w:val="both"/>
        <w:rPr>
          <w:sz w:val="25"/>
        </w:rPr>
      </w:pPr>
      <w:r>
        <w:rPr>
          <w:i/>
          <w:w w:val="105"/>
          <w:sz w:val="25"/>
        </w:rPr>
        <w:t>"A</w:t>
      </w:r>
      <w:r>
        <w:rPr>
          <w:i/>
          <w:spacing w:val="10"/>
          <w:w w:val="105"/>
          <w:sz w:val="25"/>
        </w:rPr>
        <w:t xml:space="preserve"> </w:t>
      </w:r>
      <w:r>
        <w:rPr>
          <w:i/>
          <w:w w:val="105"/>
          <w:sz w:val="25"/>
        </w:rPr>
        <w:t>clear</w:t>
      </w:r>
      <w:r>
        <w:rPr>
          <w:i/>
          <w:spacing w:val="-14"/>
          <w:w w:val="105"/>
          <w:sz w:val="25"/>
        </w:rPr>
        <w:t xml:space="preserve"> </w:t>
      </w:r>
      <w:r>
        <w:rPr>
          <w:i/>
          <w:w w:val="105"/>
          <w:sz w:val="25"/>
        </w:rPr>
        <w:t>and</w:t>
      </w:r>
      <w:r>
        <w:rPr>
          <w:i/>
          <w:spacing w:val="-16"/>
          <w:w w:val="105"/>
          <w:sz w:val="25"/>
        </w:rPr>
        <w:t xml:space="preserve"> </w:t>
      </w:r>
      <w:r>
        <w:rPr>
          <w:i/>
          <w:w w:val="105"/>
          <w:sz w:val="25"/>
        </w:rPr>
        <w:t>concise</w:t>
      </w:r>
      <w:r>
        <w:rPr>
          <w:i/>
          <w:spacing w:val="-7"/>
          <w:w w:val="105"/>
          <w:sz w:val="25"/>
        </w:rPr>
        <w:t xml:space="preserve"> </w:t>
      </w:r>
      <w:r>
        <w:rPr>
          <w:i/>
          <w:w w:val="105"/>
          <w:sz w:val="25"/>
        </w:rPr>
        <w:t>statement</w:t>
      </w:r>
      <w:r>
        <w:rPr>
          <w:i/>
          <w:spacing w:val="-17"/>
          <w:w w:val="105"/>
          <w:sz w:val="25"/>
        </w:rPr>
        <w:t xml:space="preserve"> </w:t>
      </w:r>
      <w:r>
        <w:rPr>
          <w:i/>
          <w:w w:val="105"/>
          <w:sz w:val="25"/>
        </w:rPr>
        <w:t>of</w:t>
      </w:r>
      <w:r>
        <w:rPr>
          <w:i/>
          <w:spacing w:val="-21"/>
          <w:w w:val="105"/>
          <w:sz w:val="25"/>
        </w:rPr>
        <w:t xml:space="preserve"> </w:t>
      </w:r>
      <w:r>
        <w:rPr>
          <w:i/>
          <w:w w:val="105"/>
          <w:sz w:val="25"/>
        </w:rPr>
        <w:t>any</w:t>
      </w:r>
      <w:r>
        <w:rPr>
          <w:i/>
          <w:spacing w:val="-17"/>
          <w:w w:val="105"/>
          <w:sz w:val="25"/>
        </w:rPr>
        <w:t xml:space="preserve"> </w:t>
      </w:r>
      <w:r>
        <w:rPr>
          <w:i/>
          <w:w w:val="105"/>
          <w:sz w:val="25"/>
        </w:rPr>
        <w:t>preliminary</w:t>
      </w:r>
      <w:r>
        <w:rPr>
          <w:i/>
          <w:spacing w:val="1"/>
          <w:w w:val="105"/>
          <w:sz w:val="25"/>
        </w:rPr>
        <w:t xml:space="preserve"> </w:t>
      </w:r>
      <w:r>
        <w:rPr>
          <w:i/>
          <w:w w:val="105"/>
          <w:sz w:val="25"/>
        </w:rPr>
        <w:t>legal</w:t>
      </w:r>
      <w:r>
        <w:rPr>
          <w:i/>
          <w:spacing w:val="-16"/>
          <w:w w:val="105"/>
          <w:sz w:val="25"/>
        </w:rPr>
        <w:t xml:space="preserve"> </w:t>
      </w:r>
      <w:r>
        <w:rPr>
          <w:i/>
          <w:w w:val="105"/>
          <w:sz w:val="25"/>
        </w:rPr>
        <w:t>issue</w:t>
      </w:r>
      <w:r>
        <w:rPr>
          <w:i/>
          <w:spacing w:val="-11"/>
          <w:w w:val="105"/>
          <w:sz w:val="25"/>
        </w:rPr>
        <w:t xml:space="preserve"> </w:t>
      </w:r>
      <w:r>
        <w:rPr>
          <w:i/>
          <w:w w:val="105"/>
          <w:sz w:val="25"/>
        </w:rPr>
        <w:t>which the</w:t>
      </w:r>
      <w:r>
        <w:rPr>
          <w:i/>
          <w:spacing w:val="-18"/>
          <w:w w:val="105"/>
          <w:sz w:val="25"/>
        </w:rPr>
        <w:t xml:space="preserve"> </w:t>
      </w:r>
      <w:r>
        <w:rPr>
          <w:i/>
          <w:w w:val="105"/>
          <w:sz w:val="25"/>
        </w:rPr>
        <w:t>respondent</w:t>
      </w:r>
      <w:r>
        <w:rPr>
          <w:i/>
          <w:spacing w:val="-15"/>
          <w:w w:val="105"/>
          <w:sz w:val="25"/>
        </w:rPr>
        <w:t xml:space="preserve"> </w:t>
      </w:r>
      <w:r>
        <w:rPr>
          <w:i/>
          <w:w w:val="105"/>
          <w:sz w:val="25"/>
        </w:rPr>
        <w:t>requires</w:t>
      </w:r>
      <w:r>
        <w:rPr>
          <w:i/>
          <w:spacing w:val="-16"/>
          <w:w w:val="105"/>
          <w:sz w:val="25"/>
        </w:rPr>
        <w:t xml:space="preserve"> </w:t>
      </w:r>
      <w:r>
        <w:rPr>
          <w:i/>
          <w:w w:val="105"/>
          <w:sz w:val="25"/>
        </w:rPr>
        <w:t>to</w:t>
      </w:r>
      <w:r>
        <w:rPr>
          <w:i/>
          <w:spacing w:val="-28"/>
          <w:w w:val="105"/>
          <w:sz w:val="25"/>
        </w:rPr>
        <w:t xml:space="preserve"> </w:t>
      </w:r>
      <w:r>
        <w:rPr>
          <w:i/>
          <w:w w:val="105"/>
          <w:sz w:val="25"/>
        </w:rPr>
        <w:t>be</w:t>
      </w:r>
      <w:r>
        <w:rPr>
          <w:i/>
          <w:spacing w:val="-19"/>
          <w:w w:val="105"/>
          <w:sz w:val="25"/>
        </w:rPr>
        <w:t xml:space="preserve"> </w:t>
      </w:r>
      <w:r>
        <w:rPr>
          <w:i/>
          <w:w w:val="105"/>
          <w:sz w:val="25"/>
        </w:rPr>
        <w:t>determined</w:t>
      </w:r>
      <w:r>
        <w:rPr>
          <w:i/>
          <w:spacing w:val="-1"/>
          <w:w w:val="105"/>
          <w:sz w:val="25"/>
        </w:rPr>
        <w:t xml:space="preserve"> </w:t>
      </w:r>
      <w:r>
        <w:rPr>
          <w:i/>
          <w:w w:val="105"/>
          <w:sz w:val="25"/>
        </w:rPr>
        <w:t>before</w:t>
      </w:r>
      <w:r>
        <w:rPr>
          <w:i/>
          <w:spacing w:val="-21"/>
          <w:w w:val="105"/>
          <w:sz w:val="25"/>
        </w:rPr>
        <w:t xml:space="preserve"> </w:t>
      </w:r>
      <w:r>
        <w:rPr>
          <w:i/>
          <w:w w:val="105"/>
          <w:sz w:val="25"/>
        </w:rPr>
        <w:t>the</w:t>
      </w:r>
      <w:r>
        <w:rPr>
          <w:i/>
          <w:spacing w:val="-17"/>
          <w:w w:val="105"/>
          <w:sz w:val="25"/>
        </w:rPr>
        <w:t xml:space="preserve"> </w:t>
      </w:r>
      <w:r>
        <w:rPr>
          <w:i/>
          <w:w w:val="105"/>
          <w:sz w:val="25"/>
        </w:rPr>
        <w:t>matter</w:t>
      </w:r>
      <w:r>
        <w:rPr>
          <w:i/>
          <w:spacing w:val="-20"/>
          <w:w w:val="105"/>
          <w:sz w:val="25"/>
        </w:rPr>
        <w:t xml:space="preserve"> </w:t>
      </w:r>
      <w:r>
        <w:rPr>
          <w:i/>
          <w:w w:val="105"/>
          <w:sz w:val="25"/>
        </w:rPr>
        <w:t>proceeds to trial on the merits.</w:t>
      </w:r>
      <w:r>
        <w:rPr>
          <w:i/>
          <w:spacing w:val="-23"/>
          <w:w w:val="105"/>
          <w:sz w:val="25"/>
        </w:rPr>
        <w:t xml:space="preserve"> </w:t>
      </w:r>
      <w:r>
        <w:rPr>
          <w:w w:val="105"/>
          <w:sz w:val="25"/>
        </w:rPr>
        <w:t>"</w:t>
      </w:r>
    </w:p>
    <w:p w14:paraId="0E2C6CF2" w14:textId="77777777" w:rsidR="00000AF7" w:rsidRDefault="00000AF7">
      <w:pPr>
        <w:spacing w:line="506" w:lineRule="auto"/>
        <w:jc w:val="both"/>
        <w:rPr>
          <w:sz w:val="25"/>
        </w:rPr>
        <w:sectPr w:rsidR="00000AF7">
          <w:pgSz w:w="11910" w:h="16850"/>
          <w:pgMar w:top="1500" w:right="1160" w:bottom="2020" w:left="940" w:header="0" w:footer="1774" w:gutter="0"/>
          <w:cols w:space="720"/>
        </w:sectPr>
      </w:pPr>
    </w:p>
    <w:p w14:paraId="595C3BC8" w14:textId="77777777" w:rsidR="00000AF7" w:rsidRDefault="00614671">
      <w:pPr>
        <w:pStyle w:val="ListParagraph"/>
        <w:numPr>
          <w:ilvl w:val="0"/>
          <w:numId w:val="2"/>
        </w:numPr>
        <w:tabs>
          <w:tab w:val="left" w:pos="1886"/>
        </w:tabs>
        <w:spacing w:before="68" w:line="477" w:lineRule="auto"/>
        <w:ind w:left="1880" w:right="142" w:hanging="677"/>
        <w:jc w:val="both"/>
        <w:rPr>
          <w:sz w:val="26"/>
        </w:rPr>
      </w:pPr>
      <w:r>
        <w:rPr>
          <w:sz w:val="26"/>
        </w:rPr>
        <w:lastRenderedPageBreak/>
        <w:t xml:space="preserve">We examine the contents of the TORs and deed of settlement later in the judgment suffice to mention at this stage that there is nothing in those documents to show that </w:t>
      </w:r>
      <w:r>
        <w:rPr>
          <w:rFonts w:ascii="Arial"/>
          <w:sz w:val="23"/>
        </w:rPr>
        <w:t xml:space="preserve">by </w:t>
      </w:r>
      <w:r>
        <w:rPr>
          <w:sz w:val="26"/>
        </w:rPr>
        <w:t xml:space="preserve">raising the points in </w:t>
      </w:r>
      <w:r>
        <w:rPr>
          <w:i/>
          <w:sz w:val="26"/>
        </w:rPr>
        <w:t xml:space="preserve">limine </w:t>
      </w:r>
      <w:r>
        <w:rPr>
          <w:sz w:val="26"/>
        </w:rPr>
        <w:t>the</w:t>
      </w:r>
      <w:r>
        <w:rPr>
          <w:sz w:val="26"/>
        </w:rPr>
        <w:t xml:space="preserve"> Respondent deviated from the terms</w:t>
      </w:r>
      <w:r>
        <w:rPr>
          <w:spacing w:val="12"/>
          <w:sz w:val="26"/>
        </w:rPr>
        <w:t xml:space="preserve"> </w:t>
      </w:r>
      <w:r>
        <w:rPr>
          <w:sz w:val="26"/>
        </w:rPr>
        <w:t>thereof.</w:t>
      </w:r>
    </w:p>
    <w:p w14:paraId="426E5D85" w14:textId="77777777" w:rsidR="00000AF7" w:rsidRDefault="00614671">
      <w:pPr>
        <w:pStyle w:val="ListParagraph"/>
        <w:numPr>
          <w:ilvl w:val="0"/>
          <w:numId w:val="2"/>
        </w:numPr>
        <w:tabs>
          <w:tab w:val="left" w:pos="1876"/>
        </w:tabs>
        <w:spacing w:before="173" w:line="480" w:lineRule="auto"/>
        <w:ind w:left="1880" w:right="153" w:hanging="684"/>
        <w:jc w:val="both"/>
        <w:rPr>
          <w:sz w:val="26"/>
        </w:rPr>
      </w:pPr>
      <w:r>
        <w:rPr>
          <w:w w:val="105"/>
          <w:sz w:val="26"/>
        </w:rPr>
        <w:t xml:space="preserve">In the case of </w:t>
      </w:r>
      <w:r>
        <w:rPr>
          <w:b/>
          <w:w w:val="105"/>
          <w:sz w:val="25"/>
        </w:rPr>
        <w:t>Thokozile Dlamini v Chief Mkhumbi Dlamini and Another</w:t>
      </w:r>
      <w:r>
        <w:rPr>
          <w:b/>
          <w:spacing w:val="-10"/>
          <w:w w:val="105"/>
          <w:sz w:val="25"/>
        </w:rPr>
        <w:t xml:space="preserve"> </w:t>
      </w:r>
      <w:r>
        <w:rPr>
          <w:b/>
          <w:w w:val="105"/>
          <w:sz w:val="25"/>
        </w:rPr>
        <w:t>(2/2010)</w:t>
      </w:r>
      <w:r>
        <w:rPr>
          <w:b/>
          <w:spacing w:val="-10"/>
          <w:w w:val="105"/>
          <w:sz w:val="25"/>
        </w:rPr>
        <w:t xml:space="preserve"> </w:t>
      </w:r>
      <w:r>
        <w:rPr>
          <w:b/>
          <w:w w:val="105"/>
          <w:sz w:val="25"/>
        </w:rPr>
        <w:t>[2010]</w:t>
      </w:r>
      <w:r>
        <w:rPr>
          <w:b/>
          <w:spacing w:val="-21"/>
          <w:w w:val="105"/>
          <w:sz w:val="25"/>
        </w:rPr>
        <w:t xml:space="preserve"> </w:t>
      </w:r>
      <w:r>
        <w:rPr>
          <w:b/>
          <w:w w:val="105"/>
          <w:sz w:val="25"/>
        </w:rPr>
        <w:t>SZSC</w:t>
      </w:r>
      <w:r>
        <w:rPr>
          <w:b/>
          <w:spacing w:val="-15"/>
          <w:w w:val="105"/>
          <w:sz w:val="25"/>
        </w:rPr>
        <w:t xml:space="preserve"> </w:t>
      </w:r>
      <w:r>
        <w:rPr>
          <w:b/>
          <w:w w:val="105"/>
          <w:sz w:val="25"/>
        </w:rPr>
        <w:t>3</w:t>
      </w:r>
      <w:r>
        <w:rPr>
          <w:b/>
          <w:spacing w:val="-26"/>
          <w:w w:val="105"/>
          <w:sz w:val="25"/>
        </w:rPr>
        <w:t xml:space="preserve"> </w:t>
      </w:r>
      <w:r>
        <w:rPr>
          <w:b/>
          <w:w w:val="105"/>
          <w:sz w:val="25"/>
        </w:rPr>
        <w:t>at</w:t>
      </w:r>
      <w:r>
        <w:rPr>
          <w:b/>
          <w:spacing w:val="-10"/>
          <w:w w:val="105"/>
          <w:sz w:val="25"/>
        </w:rPr>
        <w:t xml:space="preserve"> </w:t>
      </w:r>
      <w:r>
        <w:rPr>
          <w:b/>
          <w:w w:val="105"/>
          <w:sz w:val="25"/>
        </w:rPr>
        <w:t>page</w:t>
      </w:r>
      <w:r>
        <w:rPr>
          <w:b/>
          <w:spacing w:val="-16"/>
          <w:w w:val="105"/>
          <w:sz w:val="25"/>
        </w:rPr>
        <w:t xml:space="preserve"> </w:t>
      </w:r>
      <w:r>
        <w:rPr>
          <w:b/>
          <w:w w:val="105"/>
          <w:sz w:val="25"/>
        </w:rPr>
        <w:t>8,</w:t>
      </w:r>
      <w:r>
        <w:rPr>
          <w:b/>
          <w:spacing w:val="-25"/>
          <w:w w:val="105"/>
          <w:sz w:val="25"/>
        </w:rPr>
        <w:t xml:space="preserve"> </w:t>
      </w:r>
      <w:r>
        <w:rPr>
          <w:w w:val="105"/>
          <w:sz w:val="26"/>
        </w:rPr>
        <w:t>the</w:t>
      </w:r>
      <w:r>
        <w:rPr>
          <w:spacing w:val="-24"/>
          <w:w w:val="105"/>
          <w:sz w:val="26"/>
        </w:rPr>
        <w:t xml:space="preserve"> </w:t>
      </w:r>
      <w:r>
        <w:rPr>
          <w:w w:val="105"/>
          <w:sz w:val="26"/>
        </w:rPr>
        <w:t>Court</w:t>
      </w:r>
      <w:r>
        <w:rPr>
          <w:spacing w:val="-16"/>
          <w:w w:val="105"/>
          <w:sz w:val="26"/>
        </w:rPr>
        <w:t xml:space="preserve"> </w:t>
      </w:r>
      <w:r>
        <w:rPr>
          <w:w w:val="105"/>
          <w:sz w:val="26"/>
        </w:rPr>
        <w:t>said</w:t>
      </w:r>
      <w:r>
        <w:rPr>
          <w:spacing w:val="-19"/>
          <w:w w:val="105"/>
          <w:sz w:val="26"/>
        </w:rPr>
        <w:t xml:space="preserve"> </w:t>
      </w:r>
      <w:r>
        <w:rPr>
          <w:w w:val="105"/>
          <w:sz w:val="26"/>
        </w:rPr>
        <w:t>the</w:t>
      </w:r>
      <w:r>
        <w:rPr>
          <w:spacing w:val="-23"/>
          <w:w w:val="105"/>
          <w:sz w:val="26"/>
        </w:rPr>
        <w:t xml:space="preserve"> </w:t>
      </w:r>
      <w:r>
        <w:rPr>
          <w:w w:val="105"/>
          <w:sz w:val="26"/>
        </w:rPr>
        <w:t>following:</w:t>
      </w:r>
    </w:p>
    <w:p w14:paraId="1F068671" w14:textId="77777777" w:rsidR="00000AF7" w:rsidRDefault="00614671">
      <w:pPr>
        <w:spacing w:before="153" w:line="482" w:lineRule="auto"/>
        <w:ind w:left="1860" w:right="158" w:firstLine="27"/>
        <w:jc w:val="both"/>
        <w:rPr>
          <w:i/>
          <w:sz w:val="26"/>
        </w:rPr>
      </w:pPr>
      <w:r>
        <w:rPr>
          <w:i/>
          <w:sz w:val="26"/>
        </w:rPr>
        <w:t>"Now following the celebrated case of Setlogelo v Setlogelo- it is well established that the pre-requisites for an interdict are clear right, injury actually committed or reasonably apprehended and the absence of similar protection by another remedy ..."</w:t>
      </w:r>
    </w:p>
    <w:p w14:paraId="58606FB2" w14:textId="77777777" w:rsidR="00000AF7" w:rsidRDefault="00000AF7">
      <w:pPr>
        <w:pStyle w:val="BodyText"/>
        <w:rPr>
          <w:i/>
          <w:sz w:val="28"/>
        </w:rPr>
      </w:pPr>
    </w:p>
    <w:p w14:paraId="06A9E6EB" w14:textId="77777777" w:rsidR="00000AF7" w:rsidRDefault="00000AF7">
      <w:pPr>
        <w:pStyle w:val="BodyText"/>
        <w:rPr>
          <w:i/>
          <w:sz w:val="28"/>
        </w:rPr>
      </w:pPr>
    </w:p>
    <w:p w14:paraId="3F0C8463" w14:textId="77777777" w:rsidR="00000AF7" w:rsidRDefault="00000AF7">
      <w:pPr>
        <w:pStyle w:val="BodyText"/>
        <w:spacing w:before="10"/>
        <w:rPr>
          <w:i/>
          <w:sz w:val="22"/>
        </w:rPr>
      </w:pPr>
    </w:p>
    <w:p w14:paraId="5E3F9A96" w14:textId="77777777" w:rsidR="00000AF7" w:rsidRDefault="00614671">
      <w:pPr>
        <w:pStyle w:val="ListParagraph"/>
        <w:numPr>
          <w:ilvl w:val="0"/>
          <w:numId w:val="2"/>
        </w:numPr>
        <w:tabs>
          <w:tab w:val="left" w:pos="1860"/>
        </w:tabs>
        <w:spacing w:line="480" w:lineRule="auto"/>
        <w:ind w:left="1857" w:right="173" w:hanging="668"/>
        <w:jc w:val="both"/>
        <w:rPr>
          <w:sz w:val="26"/>
        </w:rPr>
      </w:pPr>
      <w:r>
        <w:rPr>
          <w:sz w:val="26"/>
        </w:rPr>
        <w:t xml:space="preserve">The High Court in an earlier decision in </w:t>
      </w:r>
      <w:r>
        <w:rPr>
          <w:b/>
          <w:sz w:val="25"/>
        </w:rPr>
        <w:t xml:space="preserve">Mntombi Simelane and Another v Makwata Simelane and Others Civil Case No. 4286/09 at page </w:t>
      </w:r>
      <w:r>
        <w:rPr>
          <w:sz w:val="26"/>
        </w:rPr>
        <w:t>7, said the</w:t>
      </w:r>
      <w:r>
        <w:rPr>
          <w:spacing w:val="-4"/>
          <w:sz w:val="26"/>
        </w:rPr>
        <w:t xml:space="preserve"> </w:t>
      </w:r>
      <w:r>
        <w:rPr>
          <w:sz w:val="26"/>
        </w:rPr>
        <w:t>following:</w:t>
      </w:r>
    </w:p>
    <w:p w14:paraId="491A576A" w14:textId="77777777" w:rsidR="00000AF7" w:rsidRDefault="00614671">
      <w:pPr>
        <w:spacing w:before="161" w:line="482" w:lineRule="auto"/>
        <w:ind w:left="2529" w:right="175" w:firstLine="14"/>
        <w:jc w:val="both"/>
        <w:rPr>
          <w:i/>
          <w:sz w:val="26"/>
        </w:rPr>
      </w:pPr>
      <w:r>
        <w:rPr>
          <w:i/>
          <w:sz w:val="26"/>
        </w:rPr>
        <w:t>"It is my opinion, that of the three requirements set out in the Setlogelo ante, clear right is of the most paramount to such an application. This is because the question of injury actually committed or reasonably apprehended, as well as alternative</w:t>
      </w:r>
    </w:p>
    <w:p w14:paraId="12985F11" w14:textId="77777777" w:rsidR="00000AF7" w:rsidRDefault="00614671">
      <w:pPr>
        <w:spacing w:line="297" w:lineRule="exact"/>
        <w:ind w:left="2526"/>
        <w:rPr>
          <w:i/>
          <w:sz w:val="26"/>
        </w:rPr>
      </w:pPr>
      <w:r>
        <w:rPr>
          <w:i/>
          <w:sz w:val="26"/>
        </w:rPr>
        <w:t>remedy</w:t>
      </w:r>
      <w:r>
        <w:rPr>
          <w:i/>
          <w:sz w:val="26"/>
        </w:rPr>
        <w:t xml:space="preserve">, </w:t>
      </w:r>
      <w:r>
        <w:rPr>
          <w:i/>
          <w:sz w:val="26"/>
          <w:u w:val="thick"/>
        </w:rPr>
        <w:t>are all  predicated  on the  presence  o(a   clear right to the</w:t>
      </w:r>
    </w:p>
    <w:p w14:paraId="7A83D5AE" w14:textId="77777777" w:rsidR="00000AF7" w:rsidRDefault="00000AF7">
      <w:pPr>
        <w:pStyle w:val="BodyText"/>
        <w:spacing w:before="3"/>
        <w:rPr>
          <w:i/>
          <w:sz w:val="18"/>
        </w:rPr>
      </w:pPr>
    </w:p>
    <w:p w14:paraId="2EA9717E" w14:textId="77777777" w:rsidR="00000AF7" w:rsidRDefault="00614671">
      <w:pPr>
        <w:spacing w:before="89"/>
        <w:ind w:left="2526"/>
        <w:rPr>
          <w:i/>
          <w:sz w:val="26"/>
        </w:rPr>
      </w:pPr>
      <w:r>
        <w:rPr>
          <w:i/>
          <w:sz w:val="26"/>
          <w:u w:val="thick"/>
        </w:rPr>
        <w:t>subiect matter of the dispute. Therefore, the absence ofa  clear right</w:t>
      </w:r>
    </w:p>
    <w:p w14:paraId="3573BD39" w14:textId="77777777" w:rsidR="00000AF7" w:rsidRDefault="00000AF7">
      <w:pPr>
        <w:rPr>
          <w:sz w:val="26"/>
        </w:rPr>
        <w:sectPr w:rsidR="00000AF7">
          <w:pgSz w:w="11910" w:h="16850"/>
          <w:pgMar w:top="1520" w:right="1160" w:bottom="2000" w:left="940" w:header="0" w:footer="1774" w:gutter="0"/>
          <w:cols w:space="720"/>
        </w:sectPr>
      </w:pPr>
    </w:p>
    <w:p w14:paraId="342F145E" w14:textId="77777777" w:rsidR="00000AF7" w:rsidRDefault="00614671">
      <w:pPr>
        <w:spacing w:before="65" w:line="477" w:lineRule="auto"/>
        <w:ind w:left="2471" w:right="240" w:firstLine="3"/>
        <w:jc w:val="both"/>
        <w:rPr>
          <w:sz w:val="25"/>
        </w:rPr>
      </w:pPr>
      <w:r>
        <w:rPr>
          <w:i/>
          <w:sz w:val="26"/>
          <w:u w:val="thick"/>
        </w:rPr>
        <w:lastRenderedPageBreak/>
        <w:t>automatically renders the other ingredients non-existent.</w:t>
      </w:r>
      <w:r>
        <w:rPr>
          <w:i/>
          <w:sz w:val="26"/>
        </w:rPr>
        <w:t xml:space="preserve"> </w:t>
      </w:r>
      <w:r>
        <w:rPr>
          <w:sz w:val="26"/>
        </w:rPr>
        <w:t xml:space="preserve">" </w:t>
      </w:r>
      <w:r>
        <w:rPr>
          <w:sz w:val="25"/>
        </w:rPr>
        <w:t>[Our emphasis]</w:t>
      </w:r>
    </w:p>
    <w:p w14:paraId="0D2D19C4" w14:textId="77777777" w:rsidR="00000AF7" w:rsidRDefault="00614671">
      <w:pPr>
        <w:pStyle w:val="ListParagraph"/>
        <w:numPr>
          <w:ilvl w:val="0"/>
          <w:numId w:val="2"/>
        </w:numPr>
        <w:tabs>
          <w:tab w:val="left" w:pos="1797"/>
        </w:tabs>
        <w:spacing w:before="191" w:line="496" w:lineRule="auto"/>
        <w:ind w:left="1799" w:right="234" w:hanging="681"/>
        <w:jc w:val="both"/>
        <w:rPr>
          <w:sz w:val="25"/>
        </w:rPr>
      </w:pPr>
      <w:r>
        <w:rPr>
          <w:w w:val="105"/>
          <w:sz w:val="25"/>
        </w:rPr>
        <w:t xml:space="preserve">In the case of </w:t>
      </w:r>
      <w:r>
        <w:rPr>
          <w:b/>
          <w:w w:val="105"/>
          <w:sz w:val="25"/>
        </w:rPr>
        <w:t xml:space="preserve">MPD Marketing Suppliers (Pty) Ltd v Roots Construction (Pty) Ltd and Another (2709/09) (2012] SZHC at para 47, </w:t>
      </w:r>
      <w:r>
        <w:rPr>
          <w:w w:val="105"/>
          <w:sz w:val="25"/>
        </w:rPr>
        <w:t>the Court stated as</w:t>
      </w:r>
      <w:r>
        <w:rPr>
          <w:spacing w:val="-5"/>
          <w:w w:val="105"/>
          <w:sz w:val="25"/>
        </w:rPr>
        <w:t xml:space="preserve"> </w:t>
      </w:r>
      <w:r>
        <w:rPr>
          <w:w w:val="105"/>
          <w:sz w:val="25"/>
        </w:rPr>
        <w:t>follows:</w:t>
      </w:r>
    </w:p>
    <w:p w14:paraId="16422FD9" w14:textId="77777777" w:rsidR="00000AF7" w:rsidRDefault="00614671">
      <w:pPr>
        <w:spacing w:before="167" w:line="482" w:lineRule="auto"/>
        <w:ind w:left="2477" w:right="231" w:firstLine="16"/>
        <w:jc w:val="both"/>
        <w:rPr>
          <w:i/>
          <w:sz w:val="26"/>
        </w:rPr>
      </w:pPr>
      <w:r>
        <w:rPr>
          <w:i/>
          <w:sz w:val="26"/>
        </w:rPr>
        <w:t xml:space="preserve">"The Applicant to an interdict, be it interim or final in nature, must therefore demonstrate a clear </w:t>
      </w:r>
      <w:r>
        <w:rPr>
          <w:i/>
          <w:sz w:val="26"/>
        </w:rPr>
        <w:t>right to the subject matter of the interdict. The right which the interdict seeks to protect must be a</w:t>
      </w:r>
    </w:p>
    <w:p w14:paraId="043261CA" w14:textId="77777777" w:rsidR="00000AF7" w:rsidRDefault="00614671">
      <w:pPr>
        <w:spacing w:before="7" w:line="477" w:lineRule="auto"/>
        <w:ind w:left="2475" w:right="230" w:firstLine="10"/>
        <w:jc w:val="both"/>
        <w:rPr>
          <w:sz w:val="25"/>
        </w:rPr>
      </w:pPr>
      <w:r>
        <w:rPr>
          <w:i/>
          <w:sz w:val="26"/>
          <w:u w:val="thick"/>
        </w:rPr>
        <w:t>legal right</w:t>
      </w:r>
      <w:r>
        <w:rPr>
          <w:i/>
          <w:sz w:val="26"/>
        </w:rPr>
        <w:t xml:space="preserve">. That right must </w:t>
      </w:r>
      <w:r>
        <w:rPr>
          <w:i/>
          <w:sz w:val="26"/>
          <w:u w:val="thick"/>
        </w:rPr>
        <w:t>belong</w:t>
      </w:r>
      <w:r>
        <w:rPr>
          <w:i/>
          <w:sz w:val="26"/>
        </w:rPr>
        <w:t xml:space="preserve"> to the Applicant. The facts averred in the affidavit of the Applicant must be such as can establish the existence of </w:t>
      </w:r>
      <w:r>
        <w:rPr>
          <w:i/>
          <w:sz w:val="26"/>
        </w:rPr>
        <w:t xml:space="preserve">the legal right. </w:t>
      </w:r>
      <w:r>
        <w:rPr>
          <w:sz w:val="26"/>
        </w:rPr>
        <w:t xml:space="preserve">" </w:t>
      </w:r>
      <w:r>
        <w:rPr>
          <w:sz w:val="25"/>
        </w:rPr>
        <w:t>(Emphasis added).</w:t>
      </w:r>
    </w:p>
    <w:p w14:paraId="1BDE4093" w14:textId="77777777" w:rsidR="00000AF7" w:rsidRDefault="00614671">
      <w:pPr>
        <w:pStyle w:val="ListParagraph"/>
        <w:numPr>
          <w:ilvl w:val="0"/>
          <w:numId w:val="2"/>
        </w:numPr>
        <w:tabs>
          <w:tab w:val="left" w:pos="1796"/>
        </w:tabs>
        <w:spacing w:before="172" w:line="504" w:lineRule="auto"/>
        <w:ind w:left="1802" w:right="229" w:hanging="677"/>
        <w:jc w:val="both"/>
        <w:rPr>
          <w:b/>
          <w:sz w:val="25"/>
        </w:rPr>
      </w:pPr>
      <w:r>
        <w:rPr>
          <w:w w:val="105"/>
          <w:sz w:val="25"/>
        </w:rPr>
        <w:t>The foundation of the job evaluation and salary review exercise was the TORs. These TORs were themselves a product of collective bargaining. The Court has a duty to protect collective bargaining by enforcing the provisions of the TORs, which is a collectiv</w:t>
      </w:r>
      <w:r>
        <w:rPr>
          <w:w w:val="105"/>
          <w:sz w:val="25"/>
        </w:rPr>
        <w:t xml:space="preserve">e agreement of sorts. </w:t>
      </w:r>
      <w:r>
        <w:rPr>
          <w:b/>
          <w:w w:val="105"/>
          <w:sz w:val="25"/>
        </w:rPr>
        <w:t>See: Swaziland National Association of Teachers v The Ministry of Public Service and others (220/2016) SZIC 11 (February 24,</w:t>
      </w:r>
      <w:r>
        <w:rPr>
          <w:b/>
          <w:spacing w:val="17"/>
          <w:w w:val="105"/>
          <w:sz w:val="25"/>
        </w:rPr>
        <w:t xml:space="preserve"> </w:t>
      </w:r>
      <w:r>
        <w:rPr>
          <w:b/>
          <w:w w:val="105"/>
          <w:sz w:val="25"/>
        </w:rPr>
        <w:t>2017).</w:t>
      </w:r>
    </w:p>
    <w:p w14:paraId="3860181A" w14:textId="77777777" w:rsidR="00000AF7" w:rsidRDefault="00614671">
      <w:pPr>
        <w:pStyle w:val="ListParagraph"/>
        <w:numPr>
          <w:ilvl w:val="0"/>
          <w:numId w:val="2"/>
        </w:numPr>
        <w:tabs>
          <w:tab w:val="left" w:pos="1804"/>
        </w:tabs>
        <w:spacing w:before="136" w:line="501" w:lineRule="auto"/>
        <w:ind w:left="1806" w:right="225" w:hanging="674"/>
        <w:jc w:val="both"/>
        <w:rPr>
          <w:sz w:val="25"/>
        </w:rPr>
      </w:pPr>
      <w:r>
        <w:rPr>
          <w:w w:val="105"/>
          <w:sz w:val="25"/>
        </w:rPr>
        <w:t xml:space="preserve">In the event of any dispute regarding the job evaluation and salary review exercise, </w:t>
      </w:r>
      <w:r>
        <w:rPr>
          <w:b/>
          <w:w w:val="105"/>
          <w:sz w:val="25"/>
        </w:rPr>
        <w:t xml:space="preserve">Clause 17 </w:t>
      </w:r>
      <w:r>
        <w:rPr>
          <w:w w:val="105"/>
          <w:sz w:val="25"/>
        </w:rPr>
        <w:t xml:space="preserve">of the </w:t>
      </w:r>
      <w:r>
        <w:rPr>
          <w:w w:val="105"/>
          <w:sz w:val="25"/>
        </w:rPr>
        <w:t>TORs provides that either party may report a dispute</w:t>
      </w:r>
      <w:r>
        <w:rPr>
          <w:spacing w:val="-3"/>
          <w:w w:val="105"/>
          <w:sz w:val="25"/>
        </w:rPr>
        <w:t xml:space="preserve"> </w:t>
      </w:r>
      <w:r>
        <w:rPr>
          <w:w w:val="105"/>
          <w:sz w:val="25"/>
        </w:rPr>
        <w:t>to</w:t>
      </w:r>
      <w:r>
        <w:rPr>
          <w:spacing w:val="-8"/>
          <w:w w:val="105"/>
          <w:sz w:val="25"/>
        </w:rPr>
        <w:t xml:space="preserve"> </w:t>
      </w:r>
      <w:r>
        <w:rPr>
          <w:w w:val="105"/>
          <w:sz w:val="25"/>
        </w:rPr>
        <w:t>CMAC.</w:t>
      </w:r>
      <w:r>
        <w:rPr>
          <w:spacing w:val="-7"/>
          <w:w w:val="105"/>
          <w:sz w:val="25"/>
        </w:rPr>
        <w:t xml:space="preserve"> </w:t>
      </w:r>
      <w:r>
        <w:rPr>
          <w:w w:val="105"/>
          <w:sz w:val="25"/>
        </w:rPr>
        <w:t>This</w:t>
      </w:r>
      <w:r>
        <w:rPr>
          <w:spacing w:val="-18"/>
          <w:w w:val="105"/>
          <w:sz w:val="25"/>
        </w:rPr>
        <w:t xml:space="preserve"> </w:t>
      </w:r>
      <w:r>
        <w:rPr>
          <w:w w:val="105"/>
          <w:sz w:val="25"/>
        </w:rPr>
        <w:t>provision</w:t>
      </w:r>
      <w:r>
        <w:rPr>
          <w:spacing w:val="-4"/>
          <w:w w:val="105"/>
          <w:sz w:val="25"/>
        </w:rPr>
        <w:t xml:space="preserve"> </w:t>
      </w:r>
      <w:r>
        <w:rPr>
          <w:w w:val="105"/>
          <w:sz w:val="25"/>
        </w:rPr>
        <w:t>was</w:t>
      </w:r>
      <w:r>
        <w:rPr>
          <w:spacing w:val="-11"/>
          <w:w w:val="105"/>
          <w:sz w:val="25"/>
        </w:rPr>
        <w:t xml:space="preserve"> </w:t>
      </w:r>
      <w:r>
        <w:rPr>
          <w:w w:val="105"/>
          <w:sz w:val="25"/>
        </w:rPr>
        <w:t>reaffirmed</w:t>
      </w:r>
      <w:r>
        <w:rPr>
          <w:spacing w:val="6"/>
          <w:w w:val="105"/>
          <w:sz w:val="25"/>
        </w:rPr>
        <w:t xml:space="preserve"> </w:t>
      </w:r>
      <w:r>
        <w:rPr>
          <w:w w:val="105"/>
          <w:sz w:val="25"/>
        </w:rPr>
        <w:t>by</w:t>
      </w:r>
      <w:r>
        <w:rPr>
          <w:spacing w:val="-9"/>
          <w:w w:val="105"/>
          <w:sz w:val="25"/>
        </w:rPr>
        <w:t xml:space="preserve"> </w:t>
      </w:r>
      <w:r>
        <w:rPr>
          <w:w w:val="105"/>
          <w:sz w:val="25"/>
        </w:rPr>
        <w:t>the</w:t>
      </w:r>
      <w:r>
        <w:rPr>
          <w:spacing w:val="-15"/>
          <w:w w:val="105"/>
          <w:sz w:val="25"/>
        </w:rPr>
        <w:t xml:space="preserve"> </w:t>
      </w:r>
      <w:r>
        <w:rPr>
          <w:w w:val="105"/>
          <w:sz w:val="25"/>
        </w:rPr>
        <w:t>Court</w:t>
      </w:r>
      <w:r>
        <w:rPr>
          <w:spacing w:val="-2"/>
          <w:w w:val="105"/>
          <w:sz w:val="25"/>
        </w:rPr>
        <w:t xml:space="preserve"> </w:t>
      </w:r>
      <w:r>
        <w:rPr>
          <w:w w:val="105"/>
          <w:sz w:val="25"/>
        </w:rPr>
        <w:t>under</w:t>
      </w:r>
      <w:r>
        <w:rPr>
          <w:spacing w:val="-10"/>
          <w:w w:val="105"/>
          <w:sz w:val="25"/>
        </w:rPr>
        <w:t xml:space="preserve"> </w:t>
      </w:r>
      <w:r>
        <w:rPr>
          <w:b/>
          <w:w w:val="105"/>
          <w:sz w:val="25"/>
        </w:rPr>
        <w:t xml:space="preserve">Case No. 274/2019. </w:t>
      </w:r>
      <w:r>
        <w:rPr>
          <w:w w:val="105"/>
          <w:sz w:val="25"/>
        </w:rPr>
        <w:t>In that case the Respondent was interdicted</w:t>
      </w:r>
      <w:r>
        <w:rPr>
          <w:spacing w:val="32"/>
          <w:w w:val="105"/>
          <w:sz w:val="25"/>
        </w:rPr>
        <w:t xml:space="preserve"> </w:t>
      </w:r>
      <w:r>
        <w:rPr>
          <w:w w:val="105"/>
          <w:sz w:val="25"/>
        </w:rPr>
        <w:t>from</w:t>
      </w:r>
    </w:p>
    <w:p w14:paraId="598968F9" w14:textId="77777777" w:rsidR="00000AF7" w:rsidRDefault="00000AF7">
      <w:pPr>
        <w:spacing w:line="501" w:lineRule="auto"/>
        <w:jc w:val="both"/>
        <w:rPr>
          <w:sz w:val="25"/>
        </w:rPr>
        <w:sectPr w:rsidR="00000AF7">
          <w:pgSz w:w="11910" w:h="16850"/>
          <w:pgMar w:top="1480" w:right="1160" w:bottom="2060" w:left="940" w:header="0" w:footer="1774" w:gutter="0"/>
          <w:cols w:space="720"/>
        </w:sectPr>
      </w:pPr>
    </w:p>
    <w:p w14:paraId="078CF5E5" w14:textId="77777777" w:rsidR="00000AF7" w:rsidRDefault="00614671">
      <w:pPr>
        <w:pStyle w:val="BodyText"/>
        <w:spacing w:before="61" w:line="480" w:lineRule="auto"/>
        <w:ind w:left="1839" w:right="175" w:hanging="2"/>
        <w:jc w:val="both"/>
      </w:pPr>
      <w:r>
        <w:lastRenderedPageBreak/>
        <w:t>unilaterally</w:t>
      </w:r>
      <w:r>
        <w:rPr>
          <w:spacing w:val="10"/>
        </w:rPr>
        <w:t xml:space="preserve"> </w:t>
      </w:r>
      <w:r>
        <w:t>implementing</w:t>
      </w:r>
      <w:r>
        <w:rPr>
          <w:spacing w:val="-11"/>
        </w:rPr>
        <w:t xml:space="preserve"> </w:t>
      </w:r>
      <w:r>
        <w:t>the</w:t>
      </w:r>
      <w:r>
        <w:rPr>
          <w:spacing w:val="-13"/>
        </w:rPr>
        <w:t xml:space="preserve"> </w:t>
      </w:r>
      <w:r>
        <w:t>recommendations</w:t>
      </w:r>
      <w:r>
        <w:rPr>
          <w:spacing w:val="-16"/>
        </w:rPr>
        <w:t xml:space="preserve"> </w:t>
      </w:r>
      <w:r>
        <w:t>of</w:t>
      </w:r>
      <w:r>
        <w:rPr>
          <w:spacing w:val="-21"/>
        </w:rPr>
        <w:t xml:space="preserve"> </w:t>
      </w:r>
      <w:r>
        <w:t>the</w:t>
      </w:r>
      <w:r>
        <w:rPr>
          <w:spacing w:val="-28"/>
        </w:rPr>
        <w:t xml:space="preserve"> </w:t>
      </w:r>
      <w:r>
        <w:t>Consultant;</w:t>
      </w:r>
      <w:r>
        <w:rPr>
          <w:spacing w:val="-8"/>
        </w:rPr>
        <w:t xml:space="preserve"> </w:t>
      </w:r>
      <w:r>
        <w:t>this</w:t>
      </w:r>
      <w:r>
        <w:rPr>
          <w:spacing w:val="-14"/>
        </w:rPr>
        <w:t xml:space="preserve"> </w:t>
      </w:r>
      <w:r>
        <w:t xml:space="preserve">was because </w:t>
      </w:r>
      <w:r>
        <w:rPr>
          <w:b/>
          <w:sz w:val="25"/>
        </w:rPr>
        <w:t xml:space="preserve">Clause 13 </w:t>
      </w:r>
      <w:r>
        <w:t>of the TORs expressly provides that implementation shall be by mutual agreement between the</w:t>
      </w:r>
      <w:r>
        <w:rPr>
          <w:spacing w:val="30"/>
        </w:rPr>
        <w:t xml:space="preserve"> </w:t>
      </w:r>
      <w:r>
        <w:t>parties.</w:t>
      </w:r>
    </w:p>
    <w:p w14:paraId="45C21913" w14:textId="77777777" w:rsidR="00000AF7" w:rsidRDefault="00614671">
      <w:pPr>
        <w:pStyle w:val="ListParagraph"/>
        <w:numPr>
          <w:ilvl w:val="0"/>
          <w:numId w:val="2"/>
        </w:numPr>
        <w:tabs>
          <w:tab w:val="left" w:pos="1845"/>
          <w:tab w:val="left" w:pos="1846"/>
        </w:tabs>
        <w:spacing w:before="153"/>
        <w:ind w:left="1845" w:hanging="678"/>
        <w:jc w:val="left"/>
        <w:rPr>
          <w:sz w:val="26"/>
        </w:rPr>
      </w:pPr>
      <w:r>
        <w:rPr>
          <w:sz w:val="26"/>
        </w:rPr>
        <w:t>There is no express or implied provision in the TORs that confers upon</w:t>
      </w:r>
      <w:r>
        <w:rPr>
          <w:spacing w:val="-37"/>
          <w:sz w:val="26"/>
        </w:rPr>
        <w:t xml:space="preserve"> </w:t>
      </w:r>
      <w:r>
        <w:rPr>
          <w:sz w:val="26"/>
        </w:rPr>
        <w:t>the</w:t>
      </w:r>
    </w:p>
    <w:p w14:paraId="4248C14C" w14:textId="77777777" w:rsidR="00000AF7" w:rsidRDefault="00000AF7">
      <w:pPr>
        <w:pStyle w:val="BodyText"/>
        <w:spacing w:before="6"/>
        <w:rPr>
          <w:sz w:val="19"/>
        </w:rPr>
      </w:pPr>
    </w:p>
    <w:p w14:paraId="7C2C60D0" w14:textId="77777777" w:rsidR="00000AF7" w:rsidRDefault="00614671">
      <w:pPr>
        <w:pStyle w:val="BodyText"/>
        <w:spacing w:before="90" w:line="482" w:lineRule="auto"/>
        <w:ind w:left="1843" w:right="175" w:hanging="7"/>
        <w:jc w:val="both"/>
      </w:pPr>
      <w:r>
        <w:t>Applicant</w:t>
      </w:r>
      <w:r>
        <w:rPr>
          <w:spacing w:val="-9"/>
        </w:rPr>
        <w:t xml:space="preserve"> </w:t>
      </w:r>
      <w:r>
        <w:t>the</w:t>
      </w:r>
      <w:r>
        <w:rPr>
          <w:spacing w:val="-18"/>
        </w:rPr>
        <w:t xml:space="preserve"> </w:t>
      </w:r>
      <w:r>
        <w:t>rig</w:t>
      </w:r>
      <w:r>
        <w:t>ht</w:t>
      </w:r>
      <w:r>
        <w:rPr>
          <w:spacing w:val="-16"/>
        </w:rPr>
        <w:t xml:space="preserve"> </w:t>
      </w:r>
      <w:r>
        <w:t>to</w:t>
      </w:r>
      <w:r>
        <w:rPr>
          <w:spacing w:val="-24"/>
        </w:rPr>
        <w:t xml:space="preserve"> </w:t>
      </w:r>
      <w:r>
        <w:t>approach</w:t>
      </w:r>
      <w:r>
        <w:rPr>
          <w:spacing w:val="-12"/>
        </w:rPr>
        <w:t xml:space="preserve"> </w:t>
      </w:r>
      <w:r>
        <w:t>the</w:t>
      </w:r>
      <w:r>
        <w:rPr>
          <w:spacing w:val="-11"/>
        </w:rPr>
        <w:t xml:space="preserve"> </w:t>
      </w:r>
      <w:r>
        <w:t>Court</w:t>
      </w:r>
      <w:r>
        <w:rPr>
          <w:spacing w:val="-11"/>
        </w:rPr>
        <w:t xml:space="preserve"> </w:t>
      </w:r>
      <w:r>
        <w:t>to</w:t>
      </w:r>
      <w:r>
        <w:rPr>
          <w:spacing w:val="-17"/>
        </w:rPr>
        <w:t xml:space="preserve"> </w:t>
      </w:r>
      <w:r>
        <w:rPr>
          <w:u w:val="thick"/>
        </w:rPr>
        <w:t>compel</w:t>
      </w:r>
      <w:r>
        <w:rPr>
          <w:spacing w:val="-12"/>
        </w:rPr>
        <w:t xml:space="preserve"> </w:t>
      </w:r>
      <w:r>
        <w:t>the</w:t>
      </w:r>
      <w:r>
        <w:rPr>
          <w:spacing w:val="-21"/>
        </w:rPr>
        <w:t xml:space="preserve"> </w:t>
      </w:r>
      <w:r>
        <w:t>Respondent</w:t>
      </w:r>
      <w:r>
        <w:rPr>
          <w:spacing w:val="-1"/>
        </w:rPr>
        <w:t xml:space="preserve"> </w:t>
      </w:r>
      <w:r>
        <w:t>to</w:t>
      </w:r>
      <w:r>
        <w:rPr>
          <w:spacing w:val="-8"/>
        </w:rPr>
        <w:t xml:space="preserve"> </w:t>
      </w:r>
      <w:r>
        <w:t>refer the Consultant's report to an independent expert for analysis and/or review and/ or to agree on the identity of that independent expert. The deed of settlement signed on the 29</w:t>
      </w:r>
      <w:r>
        <w:rPr>
          <w:rFonts w:ascii="Arial"/>
          <w:position w:val="9"/>
          <w:sz w:val="17"/>
        </w:rPr>
        <w:t xml:space="preserve">th </w:t>
      </w:r>
      <w:r>
        <w:t xml:space="preserve">September 2019 did not </w:t>
      </w:r>
      <w:r>
        <w:rPr>
          <w:i/>
        </w:rPr>
        <w:t xml:space="preserve">ex post facto </w:t>
      </w:r>
      <w:r>
        <w:t>confer the right that Applicant contends it has. If anything, the agreement reinforced the notion that the implementation of the Consultant's recommendations should be by mutual consent following negotiations in good fa</w:t>
      </w:r>
      <w:r>
        <w:t>ith on any areas of</w:t>
      </w:r>
      <w:r>
        <w:rPr>
          <w:spacing w:val="12"/>
        </w:rPr>
        <w:t xml:space="preserve"> </w:t>
      </w:r>
      <w:r>
        <w:t>concern.</w:t>
      </w:r>
    </w:p>
    <w:p w14:paraId="4D8B1475" w14:textId="77777777" w:rsidR="00000AF7" w:rsidRDefault="00614671">
      <w:pPr>
        <w:pStyle w:val="ListParagraph"/>
        <w:numPr>
          <w:ilvl w:val="0"/>
          <w:numId w:val="2"/>
        </w:numPr>
        <w:tabs>
          <w:tab w:val="left" w:pos="1858"/>
          <w:tab w:val="left" w:pos="1859"/>
        </w:tabs>
        <w:spacing w:before="162"/>
        <w:ind w:left="1858" w:hanging="676"/>
        <w:jc w:val="left"/>
        <w:rPr>
          <w:b/>
          <w:sz w:val="26"/>
        </w:rPr>
      </w:pPr>
      <w:r>
        <w:rPr>
          <w:sz w:val="26"/>
        </w:rPr>
        <w:t xml:space="preserve">Over and  above the remedy  provided  in </w:t>
      </w:r>
      <w:r>
        <w:rPr>
          <w:b/>
          <w:sz w:val="25"/>
        </w:rPr>
        <w:t xml:space="preserve">Clause </w:t>
      </w:r>
      <w:r>
        <w:rPr>
          <w:b/>
          <w:sz w:val="24"/>
        </w:rPr>
        <w:t xml:space="preserve">17 </w:t>
      </w:r>
      <w:r>
        <w:rPr>
          <w:sz w:val="26"/>
        </w:rPr>
        <w:t>of the TORs,</w:t>
      </w:r>
      <w:r>
        <w:rPr>
          <w:spacing w:val="13"/>
          <w:sz w:val="26"/>
        </w:rPr>
        <w:t xml:space="preserve"> </w:t>
      </w:r>
      <w:r>
        <w:rPr>
          <w:b/>
          <w:sz w:val="25"/>
        </w:rPr>
        <w:t>Clauses</w:t>
      </w:r>
    </w:p>
    <w:p w14:paraId="6B9CA0F2" w14:textId="77777777" w:rsidR="00000AF7" w:rsidRDefault="00000AF7">
      <w:pPr>
        <w:pStyle w:val="BodyText"/>
        <w:spacing w:before="5"/>
        <w:rPr>
          <w:b/>
          <w:sz w:val="25"/>
        </w:rPr>
      </w:pPr>
    </w:p>
    <w:p w14:paraId="72D758F3" w14:textId="77777777" w:rsidR="00000AF7" w:rsidRDefault="00614671">
      <w:pPr>
        <w:pStyle w:val="BodyText"/>
        <w:spacing w:line="484" w:lineRule="auto"/>
        <w:ind w:left="1858" w:right="157" w:firstLine="6"/>
        <w:jc w:val="both"/>
        <w:rPr>
          <w:b/>
          <w:sz w:val="25"/>
        </w:rPr>
      </w:pPr>
      <w:r>
        <w:rPr>
          <w:b/>
          <w:sz w:val="25"/>
        </w:rPr>
        <w:t xml:space="preserve">6.3 </w:t>
      </w:r>
      <w:r>
        <w:t xml:space="preserve">and </w:t>
      </w:r>
      <w:r>
        <w:rPr>
          <w:b/>
          <w:sz w:val="25"/>
        </w:rPr>
        <w:t xml:space="preserve">6.4 </w:t>
      </w:r>
      <w:r>
        <w:t xml:space="preserve">of the deed of settlement provide yet another remedy; that individual employees have the right to lodge internal appeals to the Appeals Committee after implementation of the report, if aggrieved. The remedies open to the parties were regulated by the TORs </w:t>
      </w:r>
      <w:r>
        <w:t xml:space="preserve">and deed of settlement. The Court is therefore loathe to incorporate other factors as by doing so we would be imposing different terms and conditions which were never agreed by the parties. </w:t>
      </w:r>
      <w:r>
        <w:rPr>
          <w:b/>
          <w:sz w:val="25"/>
        </w:rPr>
        <w:t xml:space="preserve">See: Magalela Ngwenya </w:t>
      </w:r>
      <w:r>
        <w:rPr>
          <w:rFonts w:ascii="Arial"/>
          <w:b/>
          <w:sz w:val="21"/>
        </w:rPr>
        <w:t xml:space="preserve">v </w:t>
      </w:r>
      <w:r>
        <w:rPr>
          <w:b/>
          <w:sz w:val="25"/>
        </w:rPr>
        <w:t>NAMBOARD (IC Case no. 59/2002).</w:t>
      </w:r>
    </w:p>
    <w:p w14:paraId="4A7C57FD" w14:textId="77777777" w:rsidR="00000AF7" w:rsidRDefault="00000AF7">
      <w:pPr>
        <w:spacing w:line="484" w:lineRule="auto"/>
        <w:jc w:val="both"/>
        <w:rPr>
          <w:sz w:val="25"/>
        </w:rPr>
        <w:sectPr w:rsidR="00000AF7">
          <w:pgSz w:w="11910" w:h="16850"/>
          <w:pgMar w:top="1520" w:right="1160" w:bottom="2020" w:left="940" w:header="0" w:footer="1774" w:gutter="0"/>
          <w:cols w:space="720"/>
        </w:sectPr>
      </w:pPr>
    </w:p>
    <w:p w14:paraId="1F486C8A" w14:textId="77777777" w:rsidR="00000AF7" w:rsidRDefault="00614671">
      <w:pPr>
        <w:pStyle w:val="ListParagraph"/>
        <w:numPr>
          <w:ilvl w:val="0"/>
          <w:numId w:val="2"/>
        </w:numPr>
        <w:tabs>
          <w:tab w:val="left" w:pos="1644"/>
        </w:tabs>
        <w:spacing w:before="73" w:line="484" w:lineRule="auto"/>
        <w:ind w:left="1655" w:right="358" w:hanging="690"/>
        <w:jc w:val="both"/>
        <w:rPr>
          <w:i/>
          <w:sz w:val="26"/>
        </w:rPr>
      </w:pPr>
      <w:r>
        <w:lastRenderedPageBreak/>
        <w:pict w14:anchorId="0924078B">
          <v:line id="_x0000_s2053" style="position:absolute;left:0;text-align:left;z-index:1168;mso-position-horizontal-relative:page;mso-position-vertical-relative:page" from="594pt,442.5pt" to="594pt,398.1pt" strokeweight=".1273mm">
            <w10:wrap anchorx="page" anchory="page"/>
          </v:line>
        </w:pict>
      </w:r>
      <w:r>
        <w:rPr>
          <w:w w:val="105"/>
          <w:sz w:val="26"/>
        </w:rPr>
        <w:t>The fact that the relief sought by the Applicant also appears in the Certificate of Unresolved Dispute does not mean that the Applicant is given</w:t>
      </w:r>
      <w:r>
        <w:rPr>
          <w:spacing w:val="-8"/>
          <w:w w:val="105"/>
          <w:sz w:val="26"/>
        </w:rPr>
        <w:t xml:space="preserve"> </w:t>
      </w:r>
      <w:r>
        <w:rPr>
          <w:w w:val="105"/>
          <w:sz w:val="26"/>
        </w:rPr>
        <w:t>carte</w:t>
      </w:r>
      <w:r>
        <w:rPr>
          <w:spacing w:val="-9"/>
          <w:w w:val="105"/>
          <w:sz w:val="26"/>
        </w:rPr>
        <w:t xml:space="preserve"> </w:t>
      </w:r>
      <w:r>
        <w:rPr>
          <w:w w:val="105"/>
          <w:sz w:val="26"/>
        </w:rPr>
        <w:t>blanche</w:t>
      </w:r>
      <w:r>
        <w:rPr>
          <w:spacing w:val="-20"/>
          <w:w w:val="105"/>
          <w:sz w:val="26"/>
        </w:rPr>
        <w:t xml:space="preserve"> </w:t>
      </w:r>
      <w:r>
        <w:rPr>
          <w:w w:val="105"/>
          <w:sz w:val="26"/>
        </w:rPr>
        <w:t>to</w:t>
      </w:r>
      <w:r>
        <w:rPr>
          <w:spacing w:val="-13"/>
          <w:w w:val="105"/>
          <w:sz w:val="26"/>
        </w:rPr>
        <w:t xml:space="preserve"> </w:t>
      </w:r>
      <w:r>
        <w:rPr>
          <w:w w:val="105"/>
          <w:sz w:val="26"/>
        </w:rPr>
        <w:t>obtain</w:t>
      </w:r>
      <w:r>
        <w:rPr>
          <w:spacing w:val="-12"/>
          <w:w w:val="105"/>
          <w:sz w:val="26"/>
        </w:rPr>
        <w:t xml:space="preserve"> </w:t>
      </w:r>
      <w:r>
        <w:rPr>
          <w:w w:val="105"/>
          <w:sz w:val="26"/>
        </w:rPr>
        <w:t>that</w:t>
      </w:r>
      <w:r>
        <w:rPr>
          <w:spacing w:val="-8"/>
          <w:w w:val="105"/>
          <w:sz w:val="26"/>
        </w:rPr>
        <w:t xml:space="preserve"> </w:t>
      </w:r>
      <w:r>
        <w:rPr>
          <w:w w:val="105"/>
          <w:sz w:val="26"/>
        </w:rPr>
        <w:t>relief</w:t>
      </w:r>
      <w:r>
        <w:rPr>
          <w:spacing w:val="-11"/>
          <w:w w:val="105"/>
          <w:sz w:val="26"/>
        </w:rPr>
        <w:t xml:space="preserve"> </w:t>
      </w:r>
      <w:r>
        <w:rPr>
          <w:w w:val="105"/>
          <w:sz w:val="26"/>
        </w:rPr>
        <w:t>sought</w:t>
      </w:r>
      <w:r>
        <w:rPr>
          <w:spacing w:val="-1"/>
          <w:w w:val="105"/>
          <w:sz w:val="26"/>
        </w:rPr>
        <w:t xml:space="preserve"> </w:t>
      </w:r>
      <w:r>
        <w:rPr>
          <w:w w:val="105"/>
          <w:sz w:val="26"/>
        </w:rPr>
        <w:t>in</w:t>
      </w:r>
      <w:r>
        <w:rPr>
          <w:spacing w:val="-8"/>
          <w:w w:val="105"/>
          <w:sz w:val="26"/>
        </w:rPr>
        <w:t xml:space="preserve"> </w:t>
      </w:r>
      <w:r>
        <w:rPr>
          <w:w w:val="105"/>
          <w:sz w:val="26"/>
        </w:rPr>
        <w:t>Court.</w:t>
      </w:r>
      <w:r>
        <w:rPr>
          <w:spacing w:val="-3"/>
          <w:w w:val="105"/>
          <w:sz w:val="26"/>
        </w:rPr>
        <w:t xml:space="preserve"> </w:t>
      </w:r>
      <w:r>
        <w:rPr>
          <w:w w:val="105"/>
          <w:sz w:val="26"/>
        </w:rPr>
        <w:t>After</w:t>
      </w:r>
      <w:r>
        <w:rPr>
          <w:w w:val="105"/>
          <w:sz w:val="26"/>
        </w:rPr>
        <w:t xml:space="preserve"> </w:t>
      </w:r>
      <w:r>
        <w:rPr>
          <w:w w:val="105"/>
          <w:sz w:val="26"/>
        </w:rPr>
        <w:t>all,</w:t>
      </w:r>
      <w:r>
        <w:rPr>
          <w:spacing w:val="-3"/>
          <w:w w:val="105"/>
          <w:sz w:val="26"/>
        </w:rPr>
        <w:t xml:space="preserve"> </w:t>
      </w:r>
      <w:r>
        <w:rPr>
          <w:w w:val="105"/>
          <w:sz w:val="26"/>
        </w:rPr>
        <w:t>in</w:t>
      </w:r>
      <w:r>
        <w:rPr>
          <w:spacing w:val="-9"/>
          <w:w w:val="105"/>
          <w:sz w:val="26"/>
        </w:rPr>
        <w:t xml:space="preserve"> </w:t>
      </w:r>
      <w:r>
        <w:rPr>
          <w:w w:val="105"/>
          <w:sz w:val="26"/>
        </w:rPr>
        <w:t xml:space="preserve">the case of </w:t>
      </w:r>
      <w:r>
        <w:rPr>
          <w:b/>
          <w:w w:val="105"/>
          <w:sz w:val="25"/>
        </w:rPr>
        <w:t xml:space="preserve">National Union of Metalworkers of SA </w:t>
      </w:r>
      <w:r>
        <w:rPr>
          <w:b/>
          <w:w w:val="105"/>
          <w:sz w:val="24"/>
        </w:rPr>
        <w:t xml:space="preserve">&amp; </w:t>
      </w:r>
      <w:r>
        <w:rPr>
          <w:b/>
          <w:w w:val="105"/>
          <w:sz w:val="25"/>
        </w:rPr>
        <w:t xml:space="preserve">others v Driveline Technologies (Pty) Ltd </w:t>
      </w:r>
      <w:r>
        <w:rPr>
          <w:b/>
          <w:w w:val="105"/>
          <w:sz w:val="24"/>
        </w:rPr>
        <w:t xml:space="preserve">&amp; </w:t>
      </w:r>
      <w:r>
        <w:rPr>
          <w:b/>
          <w:w w:val="105"/>
          <w:sz w:val="25"/>
        </w:rPr>
        <w:t xml:space="preserve">another 2000 (4) SA 645 (LAC); (2000) 21 ILJ 142 (LAC) at paragraph 36, </w:t>
      </w:r>
      <w:r>
        <w:rPr>
          <w:w w:val="105"/>
          <w:sz w:val="26"/>
        </w:rPr>
        <w:t>Zonda AJP (as he then was) made the following statement with regards to the term</w:t>
      </w:r>
      <w:r>
        <w:rPr>
          <w:spacing w:val="-46"/>
          <w:w w:val="105"/>
          <w:sz w:val="26"/>
        </w:rPr>
        <w:t xml:space="preserve"> </w:t>
      </w:r>
      <w:r>
        <w:rPr>
          <w:i/>
          <w:w w:val="105"/>
          <w:sz w:val="25"/>
        </w:rPr>
        <w:t>'dispute':</w:t>
      </w:r>
    </w:p>
    <w:p w14:paraId="3878A5A0" w14:textId="77777777" w:rsidR="00000AF7" w:rsidRDefault="00614671">
      <w:pPr>
        <w:spacing w:before="161" w:line="501" w:lineRule="auto"/>
        <w:ind w:left="2357" w:right="345" w:firstLine="7"/>
        <w:jc w:val="both"/>
        <w:rPr>
          <w:i/>
          <w:sz w:val="25"/>
        </w:rPr>
      </w:pPr>
      <w:r>
        <w:rPr>
          <w:i/>
          <w:w w:val="105"/>
          <w:sz w:val="25"/>
        </w:rPr>
        <w:t>"In a lin</w:t>
      </w:r>
      <w:r>
        <w:rPr>
          <w:i/>
          <w:w w:val="105"/>
          <w:sz w:val="25"/>
        </w:rPr>
        <w:t>e of cases stretching over many years, it has been accepted by our courts that a dispute postulates, as a minimum, the notion of expression by the parties opposing each other of conflicting views, claims or contentions ....In Williams v Benoni Town Council</w:t>
      </w:r>
      <w:r>
        <w:rPr>
          <w:i/>
          <w:w w:val="105"/>
          <w:sz w:val="25"/>
        </w:rPr>
        <w:t xml:space="preserve"> 1949</w:t>
      </w:r>
    </w:p>
    <w:p w14:paraId="0776CD82" w14:textId="77777777" w:rsidR="00000AF7" w:rsidRDefault="00614671">
      <w:pPr>
        <w:pStyle w:val="ListParagraph"/>
        <w:numPr>
          <w:ilvl w:val="1"/>
          <w:numId w:val="2"/>
        </w:numPr>
        <w:tabs>
          <w:tab w:val="left" w:pos="2783"/>
        </w:tabs>
        <w:spacing w:before="6" w:line="508" w:lineRule="auto"/>
        <w:ind w:right="332" w:hanging="4"/>
        <w:jc w:val="both"/>
        <w:rPr>
          <w:sz w:val="25"/>
        </w:rPr>
      </w:pPr>
      <w:r>
        <w:rPr>
          <w:i/>
          <w:w w:val="105"/>
          <w:sz w:val="25"/>
        </w:rPr>
        <w:t xml:space="preserve">SA 501(W) at 507, Roper </w:t>
      </w:r>
      <w:r>
        <w:rPr>
          <w:i/>
          <w:w w:val="105"/>
          <w:sz w:val="24"/>
        </w:rPr>
        <w:t xml:space="preserve">J </w:t>
      </w:r>
      <w:r>
        <w:rPr>
          <w:i/>
          <w:w w:val="105"/>
          <w:sz w:val="25"/>
        </w:rPr>
        <w:t>said, among other things, that a dispute exists, 'when one party maintains one point of view and the other</w:t>
      </w:r>
      <w:r>
        <w:rPr>
          <w:i/>
          <w:w w:val="105"/>
          <w:sz w:val="25"/>
        </w:rPr>
        <w:t xml:space="preserve"> </w:t>
      </w:r>
      <w:r>
        <w:rPr>
          <w:i/>
          <w:w w:val="105"/>
          <w:sz w:val="25"/>
        </w:rPr>
        <w:t>the</w:t>
      </w:r>
      <w:r>
        <w:rPr>
          <w:i/>
          <w:spacing w:val="5"/>
          <w:w w:val="105"/>
          <w:sz w:val="25"/>
        </w:rPr>
        <w:t xml:space="preserve"> </w:t>
      </w:r>
      <w:r>
        <w:rPr>
          <w:i/>
          <w:w w:val="105"/>
          <w:sz w:val="25"/>
        </w:rPr>
        <w:t>contrary</w:t>
      </w:r>
      <w:r>
        <w:rPr>
          <w:i/>
          <w:spacing w:val="3"/>
          <w:w w:val="105"/>
          <w:sz w:val="25"/>
        </w:rPr>
        <w:t xml:space="preserve"> </w:t>
      </w:r>
      <w:r>
        <w:rPr>
          <w:i/>
          <w:w w:val="105"/>
          <w:sz w:val="25"/>
        </w:rPr>
        <w:t>or</w:t>
      </w:r>
      <w:r>
        <w:rPr>
          <w:i/>
          <w:spacing w:val="-9"/>
          <w:w w:val="105"/>
          <w:sz w:val="25"/>
        </w:rPr>
        <w:t xml:space="preserve"> </w:t>
      </w:r>
      <w:r>
        <w:rPr>
          <w:i/>
          <w:w w:val="105"/>
          <w:sz w:val="25"/>
        </w:rPr>
        <w:t>a</w:t>
      </w:r>
      <w:r>
        <w:rPr>
          <w:i/>
          <w:spacing w:val="-7"/>
          <w:w w:val="105"/>
          <w:sz w:val="25"/>
        </w:rPr>
        <w:t xml:space="preserve"> </w:t>
      </w:r>
      <w:r>
        <w:rPr>
          <w:i/>
          <w:w w:val="105"/>
          <w:sz w:val="25"/>
        </w:rPr>
        <w:t>different</w:t>
      </w:r>
      <w:r>
        <w:rPr>
          <w:i/>
          <w:spacing w:val="7"/>
          <w:w w:val="105"/>
          <w:sz w:val="25"/>
        </w:rPr>
        <w:t xml:space="preserve"> </w:t>
      </w:r>
      <w:r>
        <w:rPr>
          <w:i/>
          <w:w w:val="105"/>
          <w:sz w:val="25"/>
        </w:rPr>
        <w:t>one</w:t>
      </w:r>
      <w:r>
        <w:rPr>
          <w:i/>
          <w:spacing w:val="-38"/>
          <w:w w:val="105"/>
          <w:sz w:val="25"/>
        </w:rPr>
        <w:t xml:space="preserve"> </w:t>
      </w:r>
      <w:r>
        <w:rPr>
          <w:i/>
          <w:w w:val="105"/>
          <w:sz w:val="25"/>
        </w:rPr>
        <w:t>...</w:t>
      </w:r>
      <w:r>
        <w:rPr>
          <w:i/>
          <w:spacing w:val="-34"/>
          <w:w w:val="105"/>
          <w:sz w:val="25"/>
        </w:rPr>
        <w:t xml:space="preserve"> </w:t>
      </w:r>
      <w:r>
        <w:rPr>
          <w:w w:val="105"/>
          <w:sz w:val="25"/>
        </w:rPr>
        <w:t>"</w:t>
      </w:r>
    </w:p>
    <w:p w14:paraId="73B6BAA8" w14:textId="77777777" w:rsidR="00000AF7" w:rsidRDefault="00614671">
      <w:pPr>
        <w:pStyle w:val="ListParagraph"/>
        <w:numPr>
          <w:ilvl w:val="0"/>
          <w:numId w:val="2"/>
        </w:numPr>
        <w:tabs>
          <w:tab w:val="left" w:pos="1703"/>
        </w:tabs>
        <w:spacing w:before="116" w:line="482" w:lineRule="auto"/>
        <w:ind w:left="1716" w:right="302" w:hanging="693"/>
        <w:jc w:val="both"/>
        <w:rPr>
          <w:b/>
          <w:sz w:val="26"/>
        </w:rPr>
      </w:pPr>
      <w:r>
        <w:rPr>
          <w:sz w:val="26"/>
        </w:rPr>
        <w:t>In the absence on an express or implicit right conferred on the Applicant by th</w:t>
      </w:r>
      <w:r>
        <w:rPr>
          <w:sz w:val="26"/>
        </w:rPr>
        <w:t>e TORs and deed of settlement or even the Consultant's report or Remuneration policy to the relief sought, the dispute serving before the Court is one of interest. Apart from the remedies outlined in the TORs and deed of settlement, by extension other reme</w:t>
      </w:r>
      <w:r>
        <w:rPr>
          <w:sz w:val="26"/>
        </w:rPr>
        <w:t xml:space="preserve">dies are provided by </w:t>
      </w:r>
      <w:r>
        <w:rPr>
          <w:b/>
          <w:sz w:val="25"/>
        </w:rPr>
        <w:t xml:space="preserve">the Act, </w:t>
      </w:r>
      <w:r>
        <w:rPr>
          <w:sz w:val="26"/>
        </w:rPr>
        <w:t xml:space="preserve">which are arbitration (provided there is consent by the other party) or industrial action. </w:t>
      </w:r>
      <w:r>
        <w:rPr>
          <w:b/>
          <w:sz w:val="25"/>
        </w:rPr>
        <w:t xml:space="preserve">See: Sections 85 (3) </w:t>
      </w:r>
      <w:r>
        <w:rPr>
          <w:sz w:val="26"/>
        </w:rPr>
        <w:t xml:space="preserve">and </w:t>
      </w:r>
      <w:r>
        <w:rPr>
          <w:b/>
          <w:sz w:val="25"/>
        </w:rPr>
        <w:t>86 of the</w:t>
      </w:r>
      <w:r>
        <w:rPr>
          <w:b/>
          <w:spacing w:val="-22"/>
          <w:sz w:val="25"/>
        </w:rPr>
        <w:t xml:space="preserve"> </w:t>
      </w:r>
      <w:r>
        <w:rPr>
          <w:b/>
          <w:sz w:val="25"/>
        </w:rPr>
        <w:t>Act.</w:t>
      </w:r>
    </w:p>
    <w:p w14:paraId="4423B558" w14:textId="77777777" w:rsidR="00000AF7" w:rsidRDefault="00000AF7">
      <w:pPr>
        <w:spacing w:line="482" w:lineRule="auto"/>
        <w:jc w:val="both"/>
        <w:rPr>
          <w:sz w:val="26"/>
        </w:rPr>
        <w:sectPr w:rsidR="00000AF7">
          <w:footerReference w:type="default" r:id="rId9"/>
          <w:pgSz w:w="11910" w:h="16850"/>
          <w:pgMar w:top="1400" w:right="1160" w:bottom="2060" w:left="940" w:header="0" w:footer="1875" w:gutter="0"/>
          <w:pgNumType w:start="12"/>
          <w:cols w:space="720"/>
        </w:sectPr>
      </w:pPr>
    </w:p>
    <w:p w14:paraId="28F0C39E" w14:textId="77777777" w:rsidR="00000AF7" w:rsidRDefault="00614671">
      <w:pPr>
        <w:spacing w:before="60"/>
        <w:ind w:left="1092"/>
        <w:rPr>
          <w:b/>
          <w:sz w:val="25"/>
        </w:rPr>
      </w:pPr>
      <w:r>
        <w:rPr>
          <w:b/>
          <w:w w:val="105"/>
          <w:sz w:val="25"/>
          <w:u w:val="thick"/>
        </w:rPr>
        <w:lastRenderedPageBreak/>
        <w:t>CONCLUSION</w:t>
      </w:r>
    </w:p>
    <w:p w14:paraId="378D454A" w14:textId="77777777" w:rsidR="00000AF7" w:rsidRDefault="00000AF7">
      <w:pPr>
        <w:pStyle w:val="BodyText"/>
        <w:spacing w:before="9"/>
        <w:rPr>
          <w:b/>
          <w:sz w:val="38"/>
        </w:rPr>
      </w:pPr>
    </w:p>
    <w:p w14:paraId="41A7E6E6" w14:textId="77777777" w:rsidR="00000AF7" w:rsidRDefault="00614671">
      <w:pPr>
        <w:pStyle w:val="BodyText"/>
        <w:spacing w:line="477" w:lineRule="auto"/>
        <w:ind w:left="1786" w:right="227" w:hanging="691"/>
        <w:jc w:val="both"/>
      </w:pPr>
      <w:r>
        <w:t xml:space="preserve">[26) In the premises, the Court holds that the Applicant has not established a clear right for the relief sought and based on the above legal authorities, it is unnecessary to determine the other points in </w:t>
      </w:r>
      <w:r>
        <w:rPr>
          <w:i/>
          <w:sz w:val="25"/>
        </w:rPr>
        <w:t xml:space="preserve">limine </w:t>
      </w:r>
      <w:r>
        <w:t>as the first point disposes off the</w:t>
      </w:r>
      <w:r>
        <w:rPr>
          <w:spacing w:val="11"/>
        </w:rPr>
        <w:t xml:space="preserve"> </w:t>
      </w:r>
      <w:r>
        <w:t>matter.</w:t>
      </w:r>
    </w:p>
    <w:p w14:paraId="6151D62D" w14:textId="77777777" w:rsidR="00000AF7" w:rsidRDefault="00614671">
      <w:pPr>
        <w:pStyle w:val="BodyText"/>
        <w:spacing w:before="166"/>
        <w:ind w:left="1189"/>
      </w:pPr>
      <w:r>
        <w:t>[27) In the result, the Court orders as follows:</w:t>
      </w:r>
    </w:p>
    <w:p w14:paraId="1B926746" w14:textId="77777777" w:rsidR="00000AF7" w:rsidRDefault="00000AF7">
      <w:pPr>
        <w:pStyle w:val="BodyText"/>
        <w:spacing w:before="7"/>
        <w:rPr>
          <w:sz w:val="40"/>
        </w:rPr>
      </w:pPr>
    </w:p>
    <w:p w14:paraId="5A90A39F" w14:textId="77777777" w:rsidR="00000AF7" w:rsidRDefault="00614671">
      <w:pPr>
        <w:pStyle w:val="ListParagraph"/>
        <w:numPr>
          <w:ilvl w:val="0"/>
          <w:numId w:val="1"/>
        </w:numPr>
        <w:tabs>
          <w:tab w:val="left" w:pos="2479"/>
          <w:tab w:val="left" w:pos="2480"/>
        </w:tabs>
        <w:spacing w:before="1"/>
        <w:ind w:hanging="674"/>
        <w:rPr>
          <w:b/>
          <w:sz w:val="25"/>
        </w:rPr>
      </w:pPr>
      <w:r>
        <w:rPr>
          <w:b/>
          <w:w w:val="105"/>
          <w:sz w:val="25"/>
        </w:rPr>
        <w:t>The Application is</w:t>
      </w:r>
      <w:r>
        <w:rPr>
          <w:b/>
          <w:spacing w:val="23"/>
          <w:w w:val="105"/>
          <w:sz w:val="25"/>
        </w:rPr>
        <w:t xml:space="preserve"> </w:t>
      </w:r>
      <w:r>
        <w:rPr>
          <w:b/>
          <w:w w:val="105"/>
          <w:sz w:val="25"/>
        </w:rPr>
        <w:t>dismissed.</w:t>
      </w:r>
    </w:p>
    <w:p w14:paraId="79E1F7A1" w14:textId="77777777" w:rsidR="00000AF7" w:rsidRDefault="00000AF7">
      <w:pPr>
        <w:pStyle w:val="BodyText"/>
        <w:spacing w:before="9"/>
        <w:rPr>
          <w:b/>
          <w:sz w:val="40"/>
        </w:rPr>
      </w:pPr>
    </w:p>
    <w:p w14:paraId="6CE5D8C4" w14:textId="77777777" w:rsidR="00000AF7" w:rsidRDefault="00614671">
      <w:pPr>
        <w:pStyle w:val="ListParagraph"/>
        <w:numPr>
          <w:ilvl w:val="0"/>
          <w:numId w:val="1"/>
        </w:numPr>
        <w:tabs>
          <w:tab w:val="left" w:pos="2490"/>
          <w:tab w:val="left" w:pos="2491"/>
        </w:tabs>
        <w:ind w:left="2490" w:hanging="678"/>
        <w:rPr>
          <w:b/>
          <w:sz w:val="25"/>
        </w:rPr>
      </w:pPr>
      <w:r>
        <w:rPr>
          <w:b/>
          <w:w w:val="105"/>
          <w:sz w:val="25"/>
        </w:rPr>
        <w:t>Each party to pay its own</w:t>
      </w:r>
      <w:r>
        <w:rPr>
          <w:b/>
          <w:spacing w:val="31"/>
          <w:w w:val="105"/>
          <w:sz w:val="25"/>
        </w:rPr>
        <w:t xml:space="preserve"> </w:t>
      </w:r>
      <w:r>
        <w:rPr>
          <w:b/>
          <w:w w:val="105"/>
          <w:sz w:val="25"/>
        </w:rPr>
        <w:t>costs.</w:t>
      </w:r>
    </w:p>
    <w:p w14:paraId="48B9CC04" w14:textId="77777777" w:rsidR="00000AF7" w:rsidRDefault="00000AF7">
      <w:pPr>
        <w:pStyle w:val="BodyText"/>
        <w:spacing w:before="1"/>
        <w:rPr>
          <w:b/>
          <w:sz w:val="40"/>
        </w:rPr>
      </w:pPr>
    </w:p>
    <w:p w14:paraId="1AD49630" w14:textId="77777777" w:rsidR="00000AF7" w:rsidRDefault="00614671">
      <w:pPr>
        <w:pStyle w:val="BodyText"/>
        <w:ind w:left="1130"/>
      </w:pPr>
      <w:r>
        <w:t>The Members agree.</w:t>
      </w:r>
    </w:p>
    <w:p w14:paraId="68927605" w14:textId="5A205DEA" w:rsidR="00000AF7" w:rsidRDefault="00000AF7">
      <w:pPr>
        <w:pStyle w:val="BodyText"/>
        <w:ind w:left="4483"/>
        <w:rPr>
          <w:sz w:val="20"/>
        </w:rPr>
      </w:pPr>
    </w:p>
    <w:p w14:paraId="55C67BB3" w14:textId="77777777" w:rsidR="00000AF7" w:rsidRDefault="00614671">
      <w:pPr>
        <w:ind w:left="4997"/>
        <w:rPr>
          <w:b/>
          <w:sz w:val="25"/>
        </w:rPr>
      </w:pPr>
      <w:r>
        <w:rPr>
          <w:b/>
          <w:w w:val="105"/>
          <w:sz w:val="25"/>
        </w:rPr>
        <w:t>V.Z. DLAMINI</w:t>
      </w:r>
    </w:p>
    <w:p w14:paraId="3A8472B8" w14:textId="77777777" w:rsidR="00000AF7" w:rsidRDefault="00614671">
      <w:pPr>
        <w:spacing w:before="15"/>
        <w:ind w:left="2493"/>
        <w:rPr>
          <w:b/>
          <w:sz w:val="25"/>
        </w:rPr>
      </w:pPr>
      <w:r>
        <w:rPr>
          <w:b/>
          <w:w w:val="105"/>
          <w:sz w:val="25"/>
        </w:rPr>
        <w:t>ACTING JUDGE OF THE INDUSTRIAL COURT</w:t>
      </w:r>
    </w:p>
    <w:p w14:paraId="0631DDE1" w14:textId="77777777" w:rsidR="00000AF7" w:rsidRDefault="00000AF7">
      <w:pPr>
        <w:pStyle w:val="BodyText"/>
        <w:rPr>
          <w:b/>
        </w:rPr>
      </w:pPr>
    </w:p>
    <w:p w14:paraId="4219BCD5" w14:textId="77777777" w:rsidR="00000AF7" w:rsidRDefault="00614671">
      <w:pPr>
        <w:tabs>
          <w:tab w:val="left" w:pos="4533"/>
        </w:tabs>
        <w:spacing w:line="303" w:lineRule="exact"/>
        <w:ind w:left="1154"/>
        <w:rPr>
          <w:sz w:val="26"/>
        </w:rPr>
      </w:pPr>
      <w:r>
        <w:rPr>
          <w:b/>
          <w:sz w:val="25"/>
        </w:rPr>
        <w:t>For</w:t>
      </w:r>
      <w:r>
        <w:rPr>
          <w:b/>
          <w:spacing w:val="33"/>
          <w:sz w:val="25"/>
        </w:rPr>
        <w:t xml:space="preserve"> </w:t>
      </w:r>
      <w:r>
        <w:rPr>
          <w:b/>
          <w:sz w:val="25"/>
        </w:rPr>
        <w:t>Applicant:</w:t>
      </w:r>
      <w:r>
        <w:rPr>
          <w:b/>
          <w:sz w:val="25"/>
        </w:rPr>
        <w:tab/>
      </w:r>
      <w:r>
        <w:rPr>
          <w:position w:val="1"/>
          <w:sz w:val="26"/>
        </w:rPr>
        <w:t>Mr. K.N.</w:t>
      </w:r>
      <w:r>
        <w:rPr>
          <w:spacing w:val="-5"/>
          <w:position w:val="1"/>
          <w:sz w:val="26"/>
        </w:rPr>
        <w:t xml:space="preserve"> </w:t>
      </w:r>
      <w:r>
        <w:rPr>
          <w:position w:val="1"/>
          <w:sz w:val="26"/>
        </w:rPr>
        <w:t>Simelane</w:t>
      </w:r>
    </w:p>
    <w:p w14:paraId="706E04C7" w14:textId="77777777" w:rsidR="00000AF7" w:rsidRDefault="00614671">
      <w:pPr>
        <w:pStyle w:val="BodyText"/>
        <w:spacing w:line="295" w:lineRule="exact"/>
        <w:ind w:left="4534"/>
      </w:pPr>
      <w:r>
        <w:t>(KN Simelane Attorneys)</w:t>
      </w:r>
    </w:p>
    <w:p w14:paraId="47BA387C" w14:textId="77777777" w:rsidR="00000AF7" w:rsidRDefault="00000AF7">
      <w:pPr>
        <w:pStyle w:val="BodyText"/>
        <w:rPr>
          <w:sz w:val="28"/>
        </w:rPr>
      </w:pPr>
    </w:p>
    <w:p w14:paraId="4E15BFFE" w14:textId="77777777" w:rsidR="00000AF7" w:rsidRDefault="00000AF7">
      <w:pPr>
        <w:pStyle w:val="BodyText"/>
        <w:spacing w:before="1"/>
      </w:pPr>
    </w:p>
    <w:p w14:paraId="33735009" w14:textId="77777777" w:rsidR="00000AF7" w:rsidRDefault="00614671">
      <w:pPr>
        <w:tabs>
          <w:tab w:val="left" w:pos="4541"/>
        </w:tabs>
        <w:spacing w:line="232" w:lineRule="auto"/>
        <w:ind w:left="4541" w:right="3174" w:hanging="3381"/>
        <w:rPr>
          <w:sz w:val="26"/>
        </w:rPr>
      </w:pPr>
      <w:r>
        <w:rPr>
          <w:b/>
          <w:sz w:val="25"/>
        </w:rPr>
        <w:t>For</w:t>
      </w:r>
      <w:r>
        <w:rPr>
          <w:b/>
          <w:spacing w:val="12"/>
          <w:sz w:val="25"/>
        </w:rPr>
        <w:t xml:space="preserve"> </w:t>
      </w:r>
      <w:r>
        <w:rPr>
          <w:b/>
          <w:sz w:val="25"/>
        </w:rPr>
        <w:t xml:space="preserve">Respondent: </w:t>
      </w:r>
      <w:r>
        <w:rPr>
          <w:b/>
          <w:spacing w:val="2"/>
          <w:sz w:val="25"/>
        </w:rPr>
        <w:t xml:space="preserve"> </w:t>
      </w:r>
      <w:r>
        <w:rPr>
          <w:sz w:val="25"/>
        </w:rPr>
        <w:t>·</w:t>
      </w:r>
      <w:r>
        <w:rPr>
          <w:sz w:val="25"/>
        </w:rPr>
        <w:tab/>
      </w:r>
      <w:r>
        <w:rPr>
          <w:position w:val="1"/>
          <w:sz w:val="26"/>
        </w:rPr>
        <w:t xml:space="preserve">Mr. Z.D. Jele </w:t>
      </w:r>
      <w:r>
        <w:rPr>
          <w:sz w:val="26"/>
        </w:rPr>
        <w:t>(Robinson</w:t>
      </w:r>
      <w:r>
        <w:rPr>
          <w:spacing w:val="-5"/>
          <w:sz w:val="26"/>
        </w:rPr>
        <w:t xml:space="preserve"> </w:t>
      </w:r>
      <w:r>
        <w:rPr>
          <w:sz w:val="26"/>
        </w:rPr>
        <w:t>Bertram)</w:t>
      </w:r>
    </w:p>
    <w:sectPr w:rsidR="00000AF7">
      <w:pgSz w:w="11910" w:h="16850"/>
      <w:pgMar w:top="1480" w:right="1160" w:bottom="2060" w:left="940" w:header="0" w:footer="18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77669" w14:textId="77777777" w:rsidR="00614671" w:rsidRDefault="00614671">
      <w:r>
        <w:separator/>
      </w:r>
    </w:p>
  </w:endnote>
  <w:endnote w:type="continuationSeparator" w:id="0">
    <w:p w14:paraId="0130309A" w14:textId="77777777" w:rsidR="00614671" w:rsidRDefault="00614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A0F04" w14:textId="77777777" w:rsidR="00000AF7" w:rsidRDefault="00614671">
    <w:pPr>
      <w:pStyle w:val="BodyText"/>
      <w:spacing w:line="14" w:lineRule="auto"/>
      <w:rPr>
        <w:sz w:val="20"/>
      </w:rPr>
    </w:pPr>
    <w:r>
      <w:pict w14:anchorId="4AB2BDC4">
        <v:shapetype id="_x0000_t202" coordsize="21600,21600" o:spt="202" path="m,l,21600r21600,l21600,xe">
          <v:stroke joinstyle="miter"/>
          <v:path gradientshapeok="t" o:connecttype="rect"/>
        </v:shapetype>
        <v:shape id="_x0000_s1026" type="#_x0000_t202" style="position:absolute;margin-left:513.6pt;margin-top:736.2pt;width:21.2pt;height:19.25pt;z-index:-6184;mso-position-horizontal-relative:page;mso-position-vertical-relative:page" filled="f" stroked="f">
          <v:textbox inset="0,0,0,0">
            <w:txbxContent>
              <w:p w14:paraId="5E4A1FB1" w14:textId="77777777" w:rsidR="00000AF7" w:rsidRDefault="00614671">
                <w:pPr>
                  <w:spacing w:before="38"/>
                  <w:ind w:left="40"/>
                  <w:rPr>
                    <w:rFonts w:ascii="Courier New"/>
                    <w:sz w:val="21"/>
                  </w:rPr>
                </w:pPr>
                <w:r>
                  <w:fldChar w:fldCharType="begin"/>
                </w:r>
                <w:r>
                  <w:rPr>
                    <w:rFonts w:ascii="Courier New"/>
                    <w:sz w:val="21"/>
                  </w:rPr>
                  <w:instrText xml:space="preserve"> PAGE </w:instrText>
                </w:r>
                <w:r>
                  <w:fldChar w:fldCharType="separate"/>
                </w:r>
                <w:r>
                  <w:t>10</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764D4" w14:textId="77777777" w:rsidR="00000AF7" w:rsidRDefault="00614671">
    <w:pPr>
      <w:pStyle w:val="BodyText"/>
      <w:spacing w:line="14" w:lineRule="auto"/>
      <w:rPr>
        <w:sz w:val="13"/>
      </w:rPr>
    </w:pPr>
    <w:r>
      <w:pict w14:anchorId="4626EC75">
        <v:shapetype id="_x0000_t202" coordsize="21600,21600" o:spt="202" path="m,l,21600r21600,l21600,xe">
          <v:stroke joinstyle="miter"/>
          <v:path gradientshapeok="t" o:connecttype="rect"/>
        </v:shapetype>
        <v:shape id="_x0000_s1025" type="#_x0000_t202" style="position:absolute;margin-left:510pt;margin-top:732.05pt;width:22.45pt;height:17.4pt;z-index:-6160;mso-position-horizontal-relative:page;mso-position-vertical-relative:page" filled="f" stroked="f">
          <v:textbox inset="0,0,0,0">
            <w:txbxContent>
              <w:p w14:paraId="3308CA00" w14:textId="77777777" w:rsidR="00000AF7" w:rsidRDefault="00614671">
                <w:pPr>
                  <w:spacing w:before="120"/>
                  <w:ind w:left="195"/>
                  <w:rPr>
                    <w:rFonts w:ascii="Arial"/>
                    <w:sz w:val="18"/>
                  </w:rPr>
                </w:pPr>
                <w:r>
                  <w:fldChar w:fldCharType="begin"/>
                </w:r>
                <w:r>
                  <w:rPr>
                    <w:rFonts w:ascii="Arial"/>
                    <w:w w:val="105"/>
                    <w:sz w:val="18"/>
                  </w:rPr>
                  <w:instrText xml:space="preserve"> PAGE </w:instrText>
                </w:r>
                <w:r>
                  <w:fldChar w:fldCharType="separate"/>
                </w:r>
                <w:r>
                  <w:t>13</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DC2F3" w14:textId="77777777" w:rsidR="00614671" w:rsidRDefault="00614671">
      <w:r>
        <w:separator/>
      </w:r>
    </w:p>
  </w:footnote>
  <w:footnote w:type="continuationSeparator" w:id="0">
    <w:p w14:paraId="4B1C884A" w14:textId="77777777" w:rsidR="00614671" w:rsidRDefault="006146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13393"/>
    <w:multiLevelType w:val="hybridMultilevel"/>
    <w:tmpl w:val="81E22E46"/>
    <w:lvl w:ilvl="0" w:tplc="B2BA14E4">
      <w:start w:val="11"/>
      <w:numFmt w:val="decimal"/>
      <w:lvlText w:val="[%1]"/>
      <w:lvlJc w:val="left"/>
      <w:pPr>
        <w:ind w:left="1923" w:hanging="680"/>
        <w:jc w:val="right"/>
      </w:pPr>
      <w:rPr>
        <w:rFonts w:hint="default"/>
        <w:spacing w:val="0"/>
        <w:w w:val="99"/>
      </w:rPr>
    </w:lvl>
    <w:lvl w:ilvl="1" w:tplc="DC3696B8">
      <w:start w:val="1"/>
      <w:numFmt w:val="decimal"/>
      <w:lvlText w:val="(%2)"/>
      <w:lvlJc w:val="left"/>
      <w:pPr>
        <w:ind w:left="2374" w:hanging="413"/>
        <w:jc w:val="left"/>
      </w:pPr>
      <w:rPr>
        <w:rFonts w:ascii="Times New Roman" w:eastAsia="Times New Roman" w:hAnsi="Times New Roman" w:cs="Times New Roman" w:hint="default"/>
        <w:i/>
        <w:spacing w:val="-1"/>
        <w:w w:val="104"/>
        <w:sz w:val="25"/>
        <w:szCs w:val="25"/>
      </w:rPr>
    </w:lvl>
    <w:lvl w:ilvl="2" w:tplc="93E098AC">
      <w:numFmt w:val="bullet"/>
      <w:lvlText w:val="•"/>
      <w:lvlJc w:val="left"/>
      <w:pPr>
        <w:ind w:left="3205" w:hanging="413"/>
      </w:pPr>
      <w:rPr>
        <w:rFonts w:hint="default"/>
      </w:rPr>
    </w:lvl>
    <w:lvl w:ilvl="3" w:tplc="6276CBCC">
      <w:numFmt w:val="bullet"/>
      <w:lvlText w:val="•"/>
      <w:lvlJc w:val="left"/>
      <w:pPr>
        <w:ind w:left="4030" w:hanging="413"/>
      </w:pPr>
      <w:rPr>
        <w:rFonts w:hint="default"/>
      </w:rPr>
    </w:lvl>
    <w:lvl w:ilvl="4" w:tplc="C7A6C8FE">
      <w:numFmt w:val="bullet"/>
      <w:lvlText w:val="•"/>
      <w:lvlJc w:val="left"/>
      <w:pPr>
        <w:ind w:left="4856" w:hanging="413"/>
      </w:pPr>
      <w:rPr>
        <w:rFonts w:hint="default"/>
      </w:rPr>
    </w:lvl>
    <w:lvl w:ilvl="5" w:tplc="3CE0A6A8">
      <w:numFmt w:val="bullet"/>
      <w:lvlText w:val="•"/>
      <w:lvlJc w:val="left"/>
      <w:pPr>
        <w:ind w:left="5681" w:hanging="413"/>
      </w:pPr>
      <w:rPr>
        <w:rFonts w:hint="default"/>
      </w:rPr>
    </w:lvl>
    <w:lvl w:ilvl="6" w:tplc="F4AAE5A0">
      <w:numFmt w:val="bullet"/>
      <w:lvlText w:val="•"/>
      <w:lvlJc w:val="left"/>
      <w:pPr>
        <w:ind w:left="6507" w:hanging="413"/>
      </w:pPr>
      <w:rPr>
        <w:rFonts w:hint="default"/>
      </w:rPr>
    </w:lvl>
    <w:lvl w:ilvl="7" w:tplc="B4187FC4">
      <w:numFmt w:val="bullet"/>
      <w:lvlText w:val="•"/>
      <w:lvlJc w:val="left"/>
      <w:pPr>
        <w:ind w:left="7332" w:hanging="413"/>
      </w:pPr>
      <w:rPr>
        <w:rFonts w:hint="default"/>
      </w:rPr>
    </w:lvl>
    <w:lvl w:ilvl="8" w:tplc="18304FB8">
      <w:numFmt w:val="bullet"/>
      <w:lvlText w:val="•"/>
      <w:lvlJc w:val="left"/>
      <w:pPr>
        <w:ind w:left="8157" w:hanging="413"/>
      </w:pPr>
      <w:rPr>
        <w:rFonts w:hint="default"/>
      </w:rPr>
    </w:lvl>
  </w:abstractNum>
  <w:abstractNum w:abstractNumId="1" w15:restartNumberingAfterBreak="0">
    <w:nsid w:val="3A7F681E"/>
    <w:multiLevelType w:val="hybridMultilevel"/>
    <w:tmpl w:val="41D05ED0"/>
    <w:lvl w:ilvl="0" w:tplc="E45C4302">
      <w:start w:val="1"/>
      <w:numFmt w:val="decimal"/>
      <w:lvlText w:val="[%1]"/>
      <w:lvlJc w:val="left"/>
      <w:pPr>
        <w:ind w:left="1804" w:hanging="678"/>
        <w:jc w:val="right"/>
      </w:pPr>
      <w:rPr>
        <w:rFonts w:hint="default"/>
        <w:spacing w:val="-1"/>
        <w:w w:val="107"/>
      </w:rPr>
    </w:lvl>
    <w:lvl w:ilvl="1" w:tplc="03AE7112">
      <w:start w:val="1"/>
      <w:numFmt w:val="decimal"/>
      <w:lvlText w:val="%2."/>
      <w:lvlJc w:val="left"/>
      <w:pPr>
        <w:ind w:left="2499" w:hanging="680"/>
        <w:jc w:val="right"/>
      </w:pPr>
      <w:rPr>
        <w:rFonts w:hint="default"/>
        <w:b/>
        <w:bCs/>
        <w:spacing w:val="-1"/>
        <w:w w:val="108"/>
      </w:rPr>
    </w:lvl>
    <w:lvl w:ilvl="2" w:tplc="48684980">
      <w:numFmt w:val="bullet"/>
      <w:lvlText w:val="•"/>
      <w:lvlJc w:val="left"/>
      <w:pPr>
        <w:ind w:left="3312" w:hanging="680"/>
      </w:pPr>
      <w:rPr>
        <w:rFonts w:hint="default"/>
      </w:rPr>
    </w:lvl>
    <w:lvl w:ilvl="3" w:tplc="0318278A">
      <w:numFmt w:val="bullet"/>
      <w:lvlText w:val="•"/>
      <w:lvlJc w:val="left"/>
      <w:pPr>
        <w:ind w:left="4124" w:hanging="680"/>
      </w:pPr>
      <w:rPr>
        <w:rFonts w:hint="default"/>
      </w:rPr>
    </w:lvl>
    <w:lvl w:ilvl="4" w:tplc="4F6C5942">
      <w:numFmt w:val="bullet"/>
      <w:lvlText w:val="•"/>
      <w:lvlJc w:val="left"/>
      <w:pPr>
        <w:ind w:left="4936" w:hanging="680"/>
      </w:pPr>
      <w:rPr>
        <w:rFonts w:hint="default"/>
      </w:rPr>
    </w:lvl>
    <w:lvl w:ilvl="5" w:tplc="AC0CCDAE">
      <w:numFmt w:val="bullet"/>
      <w:lvlText w:val="•"/>
      <w:lvlJc w:val="left"/>
      <w:pPr>
        <w:ind w:left="5748" w:hanging="680"/>
      </w:pPr>
      <w:rPr>
        <w:rFonts w:hint="default"/>
      </w:rPr>
    </w:lvl>
    <w:lvl w:ilvl="6" w:tplc="29F04BF8">
      <w:numFmt w:val="bullet"/>
      <w:lvlText w:val="•"/>
      <w:lvlJc w:val="left"/>
      <w:pPr>
        <w:ind w:left="6560" w:hanging="680"/>
      </w:pPr>
      <w:rPr>
        <w:rFonts w:hint="default"/>
      </w:rPr>
    </w:lvl>
    <w:lvl w:ilvl="7" w:tplc="CC546160">
      <w:numFmt w:val="bullet"/>
      <w:lvlText w:val="•"/>
      <w:lvlJc w:val="left"/>
      <w:pPr>
        <w:ind w:left="7372" w:hanging="680"/>
      </w:pPr>
      <w:rPr>
        <w:rFonts w:hint="default"/>
      </w:rPr>
    </w:lvl>
    <w:lvl w:ilvl="8" w:tplc="F836F62C">
      <w:numFmt w:val="bullet"/>
      <w:lvlText w:val="•"/>
      <w:lvlJc w:val="left"/>
      <w:pPr>
        <w:ind w:left="8184" w:hanging="680"/>
      </w:pPr>
      <w:rPr>
        <w:rFonts w:hint="default"/>
      </w:rPr>
    </w:lvl>
  </w:abstractNum>
  <w:abstractNum w:abstractNumId="2" w15:restartNumberingAfterBreak="0">
    <w:nsid w:val="4F5F3331"/>
    <w:multiLevelType w:val="hybridMultilevel"/>
    <w:tmpl w:val="5B369C8C"/>
    <w:lvl w:ilvl="0" w:tplc="3A2C0728">
      <w:start w:val="1"/>
      <w:numFmt w:val="lowerLetter"/>
      <w:lvlText w:val="[%1]"/>
      <w:lvlJc w:val="left"/>
      <w:pPr>
        <w:ind w:left="2479" w:hanging="675"/>
        <w:jc w:val="left"/>
      </w:pPr>
      <w:rPr>
        <w:rFonts w:ascii="Times New Roman" w:eastAsia="Times New Roman" w:hAnsi="Times New Roman" w:cs="Times New Roman" w:hint="default"/>
        <w:b/>
        <w:bCs/>
        <w:spacing w:val="-1"/>
        <w:w w:val="109"/>
        <w:sz w:val="25"/>
        <w:szCs w:val="25"/>
      </w:rPr>
    </w:lvl>
    <w:lvl w:ilvl="1" w:tplc="DD129AF8">
      <w:numFmt w:val="bullet"/>
      <w:lvlText w:val="•"/>
      <w:lvlJc w:val="left"/>
      <w:pPr>
        <w:ind w:left="3212" w:hanging="675"/>
      </w:pPr>
      <w:rPr>
        <w:rFonts w:hint="default"/>
      </w:rPr>
    </w:lvl>
    <w:lvl w:ilvl="2" w:tplc="9A8A224E">
      <w:numFmt w:val="bullet"/>
      <w:lvlText w:val="•"/>
      <w:lvlJc w:val="left"/>
      <w:pPr>
        <w:ind w:left="3945" w:hanging="675"/>
      </w:pPr>
      <w:rPr>
        <w:rFonts w:hint="default"/>
      </w:rPr>
    </w:lvl>
    <w:lvl w:ilvl="3" w:tplc="4EA0CB70">
      <w:numFmt w:val="bullet"/>
      <w:lvlText w:val="•"/>
      <w:lvlJc w:val="left"/>
      <w:pPr>
        <w:ind w:left="4678" w:hanging="675"/>
      </w:pPr>
      <w:rPr>
        <w:rFonts w:hint="default"/>
      </w:rPr>
    </w:lvl>
    <w:lvl w:ilvl="4" w:tplc="2910CC40">
      <w:numFmt w:val="bullet"/>
      <w:lvlText w:val="•"/>
      <w:lvlJc w:val="left"/>
      <w:pPr>
        <w:ind w:left="5411" w:hanging="675"/>
      </w:pPr>
      <w:rPr>
        <w:rFonts w:hint="default"/>
      </w:rPr>
    </w:lvl>
    <w:lvl w:ilvl="5" w:tplc="71A0823A">
      <w:numFmt w:val="bullet"/>
      <w:lvlText w:val="•"/>
      <w:lvlJc w:val="left"/>
      <w:pPr>
        <w:ind w:left="6144" w:hanging="675"/>
      </w:pPr>
      <w:rPr>
        <w:rFonts w:hint="default"/>
      </w:rPr>
    </w:lvl>
    <w:lvl w:ilvl="6" w:tplc="5C92DC34">
      <w:numFmt w:val="bullet"/>
      <w:lvlText w:val="•"/>
      <w:lvlJc w:val="left"/>
      <w:pPr>
        <w:ind w:left="6877" w:hanging="675"/>
      </w:pPr>
      <w:rPr>
        <w:rFonts w:hint="default"/>
      </w:rPr>
    </w:lvl>
    <w:lvl w:ilvl="7" w:tplc="2F8095E8">
      <w:numFmt w:val="bullet"/>
      <w:lvlText w:val="•"/>
      <w:lvlJc w:val="left"/>
      <w:pPr>
        <w:ind w:left="7610" w:hanging="675"/>
      </w:pPr>
      <w:rPr>
        <w:rFonts w:hint="default"/>
      </w:rPr>
    </w:lvl>
    <w:lvl w:ilvl="8" w:tplc="7DD48B6C">
      <w:numFmt w:val="bullet"/>
      <w:lvlText w:val="•"/>
      <w:lvlJc w:val="left"/>
      <w:pPr>
        <w:ind w:left="8343" w:hanging="675"/>
      </w:pPr>
      <w:rPr>
        <w:rFonts w:hint="default"/>
      </w:rPr>
    </w:lvl>
  </w:abstractNum>
  <w:abstractNum w:abstractNumId="3" w15:restartNumberingAfterBreak="0">
    <w:nsid w:val="75D42988"/>
    <w:multiLevelType w:val="multilevel"/>
    <w:tmpl w:val="F09E7E94"/>
    <w:lvl w:ilvl="0">
      <w:start w:val="9"/>
      <w:numFmt w:val="decimal"/>
      <w:lvlText w:val="%1"/>
      <w:lvlJc w:val="left"/>
      <w:pPr>
        <w:ind w:left="2496" w:hanging="667"/>
        <w:jc w:val="left"/>
      </w:pPr>
      <w:rPr>
        <w:rFonts w:hint="default"/>
      </w:rPr>
    </w:lvl>
    <w:lvl w:ilvl="1">
      <w:start w:val="1"/>
      <w:numFmt w:val="decimal"/>
      <w:lvlText w:val="%1.%2"/>
      <w:lvlJc w:val="left"/>
      <w:pPr>
        <w:ind w:left="2496" w:hanging="667"/>
        <w:jc w:val="right"/>
      </w:pPr>
      <w:rPr>
        <w:rFonts w:ascii="Times New Roman" w:eastAsia="Times New Roman" w:hAnsi="Times New Roman" w:cs="Times New Roman" w:hint="default"/>
        <w:w w:val="100"/>
        <w:sz w:val="26"/>
        <w:szCs w:val="26"/>
      </w:rPr>
    </w:lvl>
    <w:lvl w:ilvl="2">
      <w:numFmt w:val="bullet"/>
      <w:lvlText w:val="•"/>
      <w:lvlJc w:val="left"/>
      <w:pPr>
        <w:ind w:left="3961" w:hanging="667"/>
      </w:pPr>
      <w:rPr>
        <w:rFonts w:hint="default"/>
      </w:rPr>
    </w:lvl>
    <w:lvl w:ilvl="3">
      <w:numFmt w:val="bullet"/>
      <w:lvlText w:val="•"/>
      <w:lvlJc w:val="left"/>
      <w:pPr>
        <w:ind w:left="4692" w:hanging="667"/>
      </w:pPr>
      <w:rPr>
        <w:rFonts w:hint="default"/>
      </w:rPr>
    </w:lvl>
    <w:lvl w:ilvl="4">
      <w:numFmt w:val="bullet"/>
      <w:lvlText w:val="•"/>
      <w:lvlJc w:val="left"/>
      <w:pPr>
        <w:ind w:left="5423" w:hanging="667"/>
      </w:pPr>
      <w:rPr>
        <w:rFonts w:hint="default"/>
      </w:rPr>
    </w:lvl>
    <w:lvl w:ilvl="5">
      <w:numFmt w:val="bullet"/>
      <w:lvlText w:val="•"/>
      <w:lvlJc w:val="left"/>
      <w:pPr>
        <w:ind w:left="6154" w:hanging="667"/>
      </w:pPr>
      <w:rPr>
        <w:rFonts w:hint="default"/>
      </w:rPr>
    </w:lvl>
    <w:lvl w:ilvl="6">
      <w:numFmt w:val="bullet"/>
      <w:lvlText w:val="•"/>
      <w:lvlJc w:val="left"/>
      <w:pPr>
        <w:ind w:left="6885" w:hanging="667"/>
      </w:pPr>
      <w:rPr>
        <w:rFonts w:hint="default"/>
      </w:rPr>
    </w:lvl>
    <w:lvl w:ilvl="7">
      <w:numFmt w:val="bullet"/>
      <w:lvlText w:val="•"/>
      <w:lvlJc w:val="left"/>
      <w:pPr>
        <w:ind w:left="7616" w:hanging="667"/>
      </w:pPr>
      <w:rPr>
        <w:rFonts w:hint="default"/>
      </w:rPr>
    </w:lvl>
    <w:lvl w:ilvl="8">
      <w:numFmt w:val="bullet"/>
      <w:lvlText w:val="•"/>
      <w:lvlJc w:val="left"/>
      <w:pPr>
        <w:ind w:left="8347" w:hanging="667"/>
      </w:pPr>
      <w:rPr>
        <w:rFonts w:hint="default"/>
      </w:rPr>
    </w:lvl>
  </w:abstractNum>
  <w:num w:numId="1" w16cid:durableId="126438385">
    <w:abstractNumId w:val="2"/>
  </w:num>
  <w:num w:numId="2" w16cid:durableId="624850424">
    <w:abstractNumId w:val="0"/>
  </w:num>
  <w:num w:numId="3" w16cid:durableId="961501540">
    <w:abstractNumId w:val="3"/>
  </w:num>
  <w:num w:numId="4" w16cid:durableId="13860283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20"/>
  <w:drawingGridHorizontalSpacing w:val="110"/>
  <w:displayHorizontalDrawingGridEvery w:val="2"/>
  <w:characterSpacingControl w:val="doNotCompress"/>
  <w:hdrShapeDefaults>
    <o:shapedefaults v:ext="edit" spidmax="2059"/>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000AF7"/>
    <w:rsid w:val="00000AF7"/>
    <w:rsid w:val="00491B4F"/>
    <w:rsid w:val="00614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2"/>
    </o:shapelayout>
  </w:shapeDefaults>
  <w:decimalSymbol w:val="."/>
  <w:listSeparator w:val=","/>
  <w14:docId w14:val="24E7E17E"/>
  <w15:docId w15:val="{D8A2F73E-78BB-4134-A0FD-AD8511B46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73"/>
      <w:ind w:left="1223" w:hanging="679"/>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6"/>
      <w:szCs w:val="26"/>
    </w:rPr>
  </w:style>
  <w:style w:type="paragraph" w:styleId="ListParagraph">
    <w:name w:val="List Paragraph"/>
    <w:basedOn w:val="Normal"/>
    <w:uiPriority w:val="1"/>
    <w:qFormat/>
    <w:pPr>
      <w:ind w:left="1728" w:hanging="679"/>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2297</Words>
  <Characters>13094</Characters>
  <Application>Microsoft Office Word</Application>
  <DocSecurity>0</DocSecurity>
  <Lines>109</Lines>
  <Paragraphs>30</Paragraphs>
  <ScaleCrop>false</ScaleCrop>
  <Company/>
  <LinksUpToDate>false</LinksUpToDate>
  <CharactersWithSpaces>15361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Sphamandla</cp:lastModifiedBy>
  <cp:revision>3</cp:revision>
  <dcterms:created xsi:type="dcterms:W3CDTF">2022-05-06T10:58:00Z</dcterms:created>
  <dcterms:modified xsi:type="dcterms:W3CDTF">2022-05-11T14:05:00Z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2022-05-05T00:00:00Z</vt:filetime>
  </property>
  <property fmtid="{D5CDD505-2E9C-101B-9397-08002B2CF9AE}" pid="3" name="Creator">
    <vt:lpwstr>RICOH IM C2000</vt:lpwstr>
  </property>
  <property fmtid="{D5CDD505-2E9C-101B-9397-08002B2CF9AE}" pid="4" name="LastSaved">
    <vt:filetime>2022-05-06T00:00:00Z</vt:filetime>
  </property>
</Properties>
</file>