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CB4" w:rsidRPr="002C5CB4" w:rsidRDefault="002C5CB4" w:rsidP="002C5CB4">
      <w:pPr>
        <w:pStyle w:val="NormalWeb"/>
        <w:spacing w:line="360" w:lineRule="auto"/>
        <w:jc w:val="both"/>
        <w:rPr>
          <w:rFonts w:ascii="Bookman Old Style" w:hAnsi="Bookman Old Style"/>
          <w:lang/>
        </w:rPr>
      </w:pPr>
      <w:r w:rsidRPr="002C5CB4">
        <w:rPr>
          <w:rFonts w:ascii="Bookman Old Style" w:hAnsi="Bookman Old Style"/>
          <w:noProof/>
        </w:rPr>
        <mc:AlternateContent>
          <mc:Choice Requires="wps">
            <w:drawing>
              <wp:inline distT="0" distB="0" distL="0" distR="0" wp14:anchorId="5056C4F0" wp14:editId="2BCE0FBE">
                <wp:extent cx="304800" cy="304800"/>
                <wp:effectExtent l="0" t="0" r="0" b="0"/>
                <wp:docPr id="1" name="Rectangle 1" descr="C:\Users\user\AppData\Local\Temp\msohtmlclip1\01\clip_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C:\Users\user\AppData\Local\Temp\msohtmlclip1\01\clip_image00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KRvItbnAgAAAgYAAA4AAAAAAAAAAAAA&#10;AAAALgIAAGRycy9lMm9Eb2MueG1sUEsBAi0AFAAGAAgAAAAhAEyg6SzYAAAAAwEAAA8AAAAAAAAA&#10;AAAAAAAAQQUAAGRycy9kb3ducmV2LnhtbFBLBQYAAAAABAAEAPMAAABGBgAAAAA=&#10;" filled="f" stroked="f">
                <o:lock v:ext="edit" aspectratio="t"/>
                <w10:anchorlock/>
              </v:rect>
            </w:pict>
          </mc:Fallback>
        </mc:AlternateContent>
      </w:r>
    </w:p>
    <w:p w:rsidR="002C5CB4" w:rsidRPr="002C5CB4" w:rsidRDefault="002C5CB4" w:rsidP="002C5CB4">
      <w:pPr>
        <w:pStyle w:val="NormalWeb"/>
        <w:spacing w:line="360" w:lineRule="auto"/>
        <w:jc w:val="center"/>
        <w:rPr>
          <w:rFonts w:ascii="Bookman Old Style" w:hAnsi="Bookman Old Style"/>
          <w:lang/>
        </w:rPr>
      </w:pPr>
      <w:r w:rsidRPr="002C5CB4">
        <w:rPr>
          <w:rStyle w:val="Strong"/>
          <w:rFonts w:ascii="Bookman Old Style" w:hAnsi="Bookman Old Style"/>
          <w:lang/>
        </w:rPr>
        <w:t>SUPREME COURT OF SWAZILAND</w:t>
      </w:r>
    </w:p>
    <w:p w:rsidR="002C5CB4" w:rsidRPr="002C5CB4" w:rsidRDefault="002C5CB4" w:rsidP="002C5CB4">
      <w:pPr>
        <w:pStyle w:val="NormalWeb"/>
        <w:spacing w:line="360" w:lineRule="auto"/>
        <w:jc w:val="both"/>
        <w:rPr>
          <w:rFonts w:ascii="Bookman Old Style" w:hAnsi="Bookman Old Style"/>
          <w:lang/>
        </w:rPr>
      </w:pPr>
      <w:r>
        <w:rPr>
          <w:rStyle w:val="Strong"/>
          <w:rFonts w:ascii="Bookman Old Style" w:hAnsi="Bookman Old Style"/>
          <w:lang/>
        </w:rPr>
        <w:t xml:space="preserve">                                                                           </w:t>
      </w:r>
      <w:r w:rsidRPr="002C5CB4">
        <w:rPr>
          <w:rStyle w:val="Strong"/>
          <w:rFonts w:ascii="Bookman Old Style" w:hAnsi="Bookman Old Style"/>
          <w:lang/>
        </w:rPr>
        <w:t>Appeal Case No.53/09</w:t>
      </w:r>
    </w:p>
    <w:p w:rsidR="002C5CB4" w:rsidRPr="002C5CB4" w:rsidRDefault="002C5CB4" w:rsidP="002C5CB4">
      <w:pPr>
        <w:pStyle w:val="NormalWeb"/>
        <w:spacing w:line="360" w:lineRule="auto"/>
        <w:jc w:val="both"/>
        <w:rPr>
          <w:rFonts w:ascii="Bookman Old Style" w:hAnsi="Bookman Old Style"/>
          <w:lang/>
        </w:rPr>
      </w:pPr>
      <w:r w:rsidRPr="002C5CB4">
        <w:rPr>
          <w:rStyle w:val="Strong"/>
          <w:rFonts w:ascii="Bookman Old Style" w:hAnsi="Bookman Old Style"/>
          <w:lang/>
        </w:rPr>
        <w:t>In the matter between:</w:t>
      </w:r>
    </w:p>
    <w:p w:rsidR="002C5CB4" w:rsidRPr="002C5CB4" w:rsidRDefault="002C5CB4" w:rsidP="002C5CB4">
      <w:pPr>
        <w:pStyle w:val="NormalWeb"/>
        <w:spacing w:line="360" w:lineRule="auto"/>
        <w:jc w:val="both"/>
        <w:rPr>
          <w:rFonts w:ascii="Bookman Old Style" w:hAnsi="Bookman Old Style"/>
          <w:lang/>
        </w:rPr>
      </w:pPr>
      <w:r w:rsidRPr="002C5CB4">
        <w:rPr>
          <w:rStyle w:val="Strong"/>
          <w:rFonts w:ascii="Bookman Old Style" w:hAnsi="Bookman Old Style"/>
          <w:lang/>
        </w:rPr>
        <w:t xml:space="preserve">QHAWE MAMBA </w:t>
      </w:r>
      <w:r>
        <w:rPr>
          <w:rStyle w:val="Strong"/>
          <w:rFonts w:ascii="Bookman Old Style" w:hAnsi="Bookman Old Style"/>
          <w:lang/>
        </w:rPr>
        <w:t xml:space="preserve">                                                           </w:t>
      </w:r>
      <w:r w:rsidRPr="002C5CB4">
        <w:rPr>
          <w:rStyle w:val="Strong"/>
          <w:rFonts w:ascii="Bookman Old Style" w:hAnsi="Bookman Old Style"/>
          <w:lang/>
        </w:rPr>
        <w:t>1</w:t>
      </w:r>
      <w:r w:rsidRPr="002C5CB4">
        <w:rPr>
          <w:rStyle w:val="Strong"/>
          <w:rFonts w:ascii="Bookman Old Style" w:hAnsi="Bookman Old Style"/>
          <w:vertAlign w:val="superscript"/>
          <w:lang/>
        </w:rPr>
        <w:t>ST</w:t>
      </w:r>
      <w:r w:rsidRPr="002C5CB4">
        <w:rPr>
          <w:rStyle w:val="Strong"/>
          <w:rFonts w:ascii="Bookman Old Style" w:hAnsi="Bookman Old Style"/>
          <w:lang/>
        </w:rPr>
        <w:t xml:space="preserve"> APPELLANT</w:t>
      </w:r>
    </w:p>
    <w:p w:rsidR="002C5CB4" w:rsidRPr="002C5CB4" w:rsidRDefault="002C5CB4" w:rsidP="002C5CB4">
      <w:pPr>
        <w:pStyle w:val="NormalWeb"/>
        <w:spacing w:line="360" w:lineRule="auto"/>
        <w:jc w:val="both"/>
        <w:rPr>
          <w:rFonts w:ascii="Bookman Old Style" w:hAnsi="Bookman Old Style"/>
          <w:lang/>
        </w:rPr>
      </w:pPr>
      <w:r w:rsidRPr="002C5CB4">
        <w:rPr>
          <w:rStyle w:val="Strong"/>
          <w:rFonts w:ascii="Bookman Old Style" w:hAnsi="Bookman Old Style"/>
          <w:lang/>
        </w:rPr>
        <w:t xml:space="preserve">ULTIMATE PRODUCTIONS (PTY) LTD </w:t>
      </w:r>
      <w:r>
        <w:rPr>
          <w:rStyle w:val="Strong"/>
          <w:rFonts w:ascii="Bookman Old Style" w:hAnsi="Bookman Old Style"/>
          <w:lang/>
        </w:rPr>
        <w:t xml:space="preserve">                            </w:t>
      </w:r>
      <w:r w:rsidRPr="002C5CB4">
        <w:rPr>
          <w:rStyle w:val="Strong"/>
          <w:rFonts w:ascii="Bookman Old Style" w:hAnsi="Bookman Old Style"/>
          <w:lang/>
        </w:rPr>
        <w:t>2</w:t>
      </w:r>
      <w:r w:rsidRPr="002C5CB4">
        <w:rPr>
          <w:rStyle w:val="Strong"/>
          <w:rFonts w:ascii="Bookman Old Style" w:hAnsi="Bookman Old Style"/>
          <w:vertAlign w:val="superscript"/>
          <w:lang/>
        </w:rPr>
        <w:t>nd</w:t>
      </w:r>
      <w:r w:rsidRPr="002C5CB4">
        <w:rPr>
          <w:rStyle w:val="Strong"/>
          <w:rFonts w:ascii="Bookman Old Style" w:hAnsi="Bookman Old Style"/>
          <w:lang/>
        </w:rPr>
        <w:t xml:space="preserve"> APPELLANT</w:t>
      </w:r>
    </w:p>
    <w:p w:rsidR="002C5CB4" w:rsidRPr="002C5CB4" w:rsidRDefault="002C5CB4" w:rsidP="002C5CB4">
      <w:pPr>
        <w:pStyle w:val="NormalWeb"/>
        <w:spacing w:line="360" w:lineRule="auto"/>
        <w:jc w:val="both"/>
        <w:rPr>
          <w:rFonts w:ascii="Bookman Old Style" w:hAnsi="Bookman Old Style"/>
          <w:lang/>
        </w:rPr>
      </w:pPr>
      <w:r w:rsidRPr="002C5CB4">
        <w:rPr>
          <w:rStyle w:val="Strong"/>
          <w:rFonts w:ascii="Bookman Old Style" w:hAnsi="Bookman Old Style"/>
          <w:lang/>
        </w:rPr>
        <w:t xml:space="preserve">JOUZ MEDIA (PTY) LTD </w:t>
      </w:r>
      <w:r>
        <w:rPr>
          <w:rStyle w:val="Strong"/>
          <w:rFonts w:ascii="Bookman Old Style" w:hAnsi="Bookman Old Style"/>
          <w:lang/>
        </w:rPr>
        <w:t xml:space="preserve">                                                 </w:t>
      </w:r>
      <w:r w:rsidRPr="002C5CB4">
        <w:rPr>
          <w:rStyle w:val="Strong"/>
          <w:rFonts w:ascii="Bookman Old Style" w:hAnsi="Bookman Old Style"/>
          <w:lang/>
        </w:rPr>
        <w:t>3</w:t>
      </w:r>
      <w:r w:rsidRPr="002C5CB4">
        <w:rPr>
          <w:rStyle w:val="Strong"/>
          <w:rFonts w:ascii="Bookman Old Style" w:hAnsi="Bookman Old Style"/>
          <w:vertAlign w:val="superscript"/>
          <w:lang/>
        </w:rPr>
        <w:t>RD</w:t>
      </w:r>
      <w:r w:rsidRPr="002C5CB4">
        <w:rPr>
          <w:rStyle w:val="Strong"/>
          <w:rFonts w:ascii="Bookman Old Style" w:hAnsi="Bookman Old Style"/>
          <w:lang/>
        </w:rPr>
        <w:t xml:space="preserve"> APPELLANT</w:t>
      </w:r>
    </w:p>
    <w:p w:rsidR="002C5CB4" w:rsidRPr="002C5CB4" w:rsidRDefault="002C5CB4" w:rsidP="002C5CB4">
      <w:pPr>
        <w:pStyle w:val="NormalWeb"/>
        <w:spacing w:line="360" w:lineRule="auto"/>
        <w:jc w:val="both"/>
        <w:rPr>
          <w:rFonts w:ascii="Bookman Old Style" w:hAnsi="Bookman Old Style"/>
          <w:lang/>
        </w:rPr>
      </w:pPr>
      <w:r w:rsidRPr="002C5CB4">
        <w:rPr>
          <w:rStyle w:val="Strong"/>
          <w:rFonts w:ascii="Bookman Old Style" w:hAnsi="Bookman Old Style"/>
          <w:lang/>
        </w:rPr>
        <w:t xml:space="preserve">AND </w:t>
      </w:r>
    </w:p>
    <w:p w:rsidR="002C5CB4" w:rsidRPr="002C5CB4" w:rsidRDefault="002C5CB4" w:rsidP="002C5CB4">
      <w:pPr>
        <w:pStyle w:val="NormalWeb"/>
        <w:spacing w:line="360" w:lineRule="auto"/>
        <w:jc w:val="both"/>
        <w:rPr>
          <w:rFonts w:ascii="Bookman Old Style" w:hAnsi="Bookman Old Style"/>
          <w:lang/>
        </w:rPr>
      </w:pPr>
      <w:r w:rsidRPr="002C5CB4">
        <w:rPr>
          <w:rStyle w:val="Strong"/>
          <w:rFonts w:ascii="Bookman Old Style" w:hAnsi="Bookman Old Style"/>
          <w:lang/>
        </w:rPr>
        <w:t xml:space="preserve">THE CENTRAL BANK OF SWAZILAND </w:t>
      </w:r>
      <w:r>
        <w:rPr>
          <w:rStyle w:val="Strong"/>
          <w:rFonts w:ascii="Bookman Old Style" w:hAnsi="Bookman Old Style"/>
          <w:lang/>
        </w:rPr>
        <w:t xml:space="preserve">                         </w:t>
      </w:r>
      <w:r w:rsidRPr="002C5CB4">
        <w:rPr>
          <w:rStyle w:val="Strong"/>
          <w:rFonts w:ascii="Bookman Old Style" w:hAnsi="Bookman Old Style"/>
          <w:lang/>
        </w:rPr>
        <w:t>1</w:t>
      </w:r>
      <w:r w:rsidRPr="002C5CB4">
        <w:rPr>
          <w:rStyle w:val="Strong"/>
          <w:rFonts w:ascii="Bookman Old Style" w:hAnsi="Bookman Old Style"/>
          <w:vertAlign w:val="superscript"/>
          <w:lang/>
        </w:rPr>
        <w:t>ST</w:t>
      </w:r>
      <w:r w:rsidRPr="002C5CB4">
        <w:rPr>
          <w:rStyle w:val="Strong"/>
          <w:rFonts w:ascii="Bookman Old Style" w:hAnsi="Bookman Old Style"/>
          <w:lang/>
        </w:rPr>
        <w:t xml:space="preserve"> RESPONDENT</w:t>
      </w:r>
    </w:p>
    <w:p w:rsidR="002C5CB4" w:rsidRPr="002C5CB4" w:rsidRDefault="002C5CB4" w:rsidP="002C5CB4">
      <w:pPr>
        <w:pStyle w:val="NormalWeb"/>
        <w:spacing w:line="360" w:lineRule="auto"/>
        <w:jc w:val="both"/>
        <w:rPr>
          <w:rFonts w:ascii="Bookman Old Style" w:hAnsi="Bookman Old Style"/>
          <w:lang/>
        </w:rPr>
      </w:pPr>
      <w:r w:rsidRPr="002C5CB4">
        <w:rPr>
          <w:rStyle w:val="Strong"/>
          <w:rFonts w:ascii="Bookman Old Style" w:hAnsi="Bookman Old Style"/>
          <w:lang/>
        </w:rPr>
        <w:t xml:space="preserve">FIRST NATIONAL BANK OF SWAZILAND </w:t>
      </w:r>
      <w:r>
        <w:rPr>
          <w:rStyle w:val="Strong"/>
          <w:rFonts w:ascii="Bookman Old Style" w:hAnsi="Bookman Old Style"/>
          <w:lang/>
        </w:rPr>
        <w:t xml:space="preserve">                    </w:t>
      </w:r>
      <w:r w:rsidRPr="002C5CB4">
        <w:rPr>
          <w:rStyle w:val="Strong"/>
          <w:rFonts w:ascii="Bookman Old Style" w:hAnsi="Bookman Old Style"/>
          <w:lang/>
        </w:rPr>
        <w:t>2nd RESPONDENT</w:t>
      </w:r>
    </w:p>
    <w:p w:rsidR="002C5CB4" w:rsidRPr="002C5CB4" w:rsidRDefault="002C5CB4" w:rsidP="002C5CB4">
      <w:pPr>
        <w:pStyle w:val="NormalWeb"/>
        <w:spacing w:line="360" w:lineRule="auto"/>
        <w:jc w:val="both"/>
        <w:rPr>
          <w:rFonts w:ascii="Bookman Old Style" w:hAnsi="Bookman Old Style"/>
          <w:lang/>
        </w:rPr>
      </w:pPr>
      <w:r w:rsidRPr="002C5CB4">
        <w:rPr>
          <w:rStyle w:val="Strong"/>
          <w:rFonts w:ascii="Bookman Old Style" w:hAnsi="Bookman Old Style"/>
          <w:lang/>
        </w:rPr>
        <w:t xml:space="preserve">NEDBANK SWAZILAND LIMITED </w:t>
      </w:r>
      <w:r>
        <w:rPr>
          <w:rStyle w:val="Strong"/>
          <w:rFonts w:ascii="Bookman Old Style" w:hAnsi="Bookman Old Style"/>
          <w:lang/>
        </w:rPr>
        <w:t xml:space="preserve">                                </w:t>
      </w:r>
      <w:r w:rsidRPr="002C5CB4">
        <w:rPr>
          <w:rStyle w:val="Strong"/>
          <w:rFonts w:ascii="Bookman Old Style" w:hAnsi="Bookman Old Style"/>
          <w:lang/>
        </w:rPr>
        <w:t>3</w:t>
      </w:r>
      <w:r w:rsidRPr="002C5CB4">
        <w:rPr>
          <w:rStyle w:val="Strong"/>
          <w:rFonts w:ascii="Bookman Old Style" w:hAnsi="Bookman Old Style"/>
          <w:vertAlign w:val="superscript"/>
          <w:lang/>
        </w:rPr>
        <w:t>RD</w:t>
      </w:r>
      <w:r w:rsidRPr="002C5CB4">
        <w:rPr>
          <w:rStyle w:val="Strong"/>
          <w:rFonts w:ascii="Bookman Old Style" w:hAnsi="Bookman Old Style"/>
          <w:lang/>
        </w:rPr>
        <w:t xml:space="preserve"> RESPONDENT</w:t>
      </w:r>
    </w:p>
    <w:p w:rsidR="002C5CB4" w:rsidRPr="002C5CB4" w:rsidRDefault="002C5CB4" w:rsidP="002C5CB4">
      <w:pPr>
        <w:pStyle w:val="NormalWeb"/>
        <w:spacing w:line="360" w:lineRule="auto"/>
        <w:jc w:val="both"/>
        <w:rPr>
          <w:rFonts w:ascii="Bookman Old Style" w:hAnsi="Bookman Old Style"/>
          <w:lang/>
        </w:rPr>
      </w:pPr>
      <w:r w:rsidRPr="002C5CB4">
        <w:rPr>
          <w:rStyle w:val="Strong"/>
          <w:rFonts w:ascii="Bookman Old Style" w:hAnsi="Bookman Old Style"/>
          <w:lang/>
        </w:rPr>
        <w:t xml:space="preserve">STANDARD BANK SWAZILAND LTD </w:t>
      </w:r>
      <w:r>
        <w:rPr>
          <w:rStyle w:val="Strong"/>
          <w:rFonts w:ascii="Bookman Old Style" w:hAnsi="Bookman Old Style"/>
          <w:lang/>
        </w:rPr>
        <w:t xml:space="preserve">                            </w:t>
      </w:r>
      <w:r w:rsidRPr="002C5CB4">
        <w:rPr>
          <w:rStyle w:val="Strong"/>
          <w:rFonts w:ascii="Bookman Old Style" w:hAnsi="Bookman Old Style"/>
          <w:lang/>
        </w:rPr>
        <w:t>4</w:t>
      </w:r>
      <w:r w:rsidRPr="002C5CB4">
        <w:rPr>
          <w:rStyle w:val="Strong"/>
          <w:rFonts w:ascii="Bookman Old Style" w:hAnsi="Bookman Old Style"/>
          <w:vertAlign w:val="superscript"/>
          <w:lang/>
        </w:rPr>
        <w:t xml:space="preserve">TH </w:t>
      </w:r>
      <w:r w:rsidRPr="002C5CB4">
        <w:rPr>
          <w:rStyle w:val="Strong"/>
          <w:rFonts w:ascii="Bookman Old Style" w:hAnsi="Bookman Old Style"/>
          <w:lang/>
        </w:rPr>
        <w:t>RESPONDENT</w:t>
      </w:r>
    </w:p>
    <w:p w:rsidR="002C5CB4" w:rsidRPr="002C5CB4" w:rsidRDefault="002C5CB4" w:rsidP="002C5CB4">
      <w:pPr>
        <w:pStyle w:val="NormalWeb"/>
        <w:spacing w:line="360" w:lineRule="auto"/>
        <w:jc w:val="both"/>
        <w:rPr>
          <w:rFonts w:ascii="Bookman Old Style" w:hAnsi="Bookman Old Style"/>
          <w:lang/>
        </w:rPr>
      </w:pPr>
      <w:r w:rsidRPr="002C5CB4">
        <w:rPr>
          <w:rStyle w:val="Strong"/>
          <w:rFonts w:ascii="Bookman Old Style" w:hAnsi="Bookman Old Style"/>
          <w:lang/>
        </w:rPr>
        <w:t>CORAM</w:t>
      </w:r>
      <w:r>
        <w:rPr>
          <w:rStyle w:val="Strong"/>
          <w:rFonts w:ascii="Bookman Old Style" w:hAnsi="Bookman Old Style"/>
          <w:lang/>
        </w:rPr>
        <w:t xml:space="preserve">:    </w:t>
      </w:r>
      <w:r w:rsidRPr="002C5CB4">
        <w:rPr>
          <w:rStyle w:val="Strong"/>
          <w:rFonts w:ascii="Bookman Old Style" w:hAnsi="Bookman Old Style"/>
          <w:lang/>
        </w:rPr>
        <w:t xml:space="preserve"> FOXCROFT JA</w:t>
      </w:r>
    </w:p>
    <w:p w:rsidR="002C5CB4" w:rsidRPr="002C5CB4" w:rsidRDefault="002C5CB4" w:rsidP="002C5CB4">
      <w:pPr>
        <w:pStyle w:val="NormalWeb"/>
        <w:spacing w:line="360" w:lineRule="auto"/>
        <w:jc w:val="both"/>
        <w:rPr>
          <w:rFonts w:ascii="Bookman Old Style" w:hAnsi="Bookman Old Style"/>
          <w:lang/>
        </w:rPr>
      </w:pPr>
      <w:r>
        <w:rPr>
          <w:rStyle w:val="Strong"/>
          <w:rFonts w:ascii="Bookman Old Style" w:hAnsi="Bookman Old Style"/>
          <w:lang/>
        </w:rPr>
        <w:t xml:space="preserve">                  </w:t>
      </w:r>
      <w:r w:rsidRPr="002C5CB4">
        <w:rPr>
          <w:rStyle w:val="Strong"/>
          <w:rFonts w:ascii="Bookman Old Style" w:hAnsi="Bookman Old Style"/>
          <w:lang/>
        </w:rPr>
        <w:t>EBRAHIM JA</w:t>
      </w:r>
    </w:p>
    <w:p w:rsidR="002C5CB4" w:rsidRPr="002C5CB4" w:rsidRDefault="002C5CB4" w:rsidP="002C5CB4">
      <w:pPr>
        <w:pStyle w:val="NormalWeb"/>
        <w:spacing w:line="360" w:lineRule="auto"/>
        <w:jc w:val="both"/>
        <w:rPr>
          <w:rFonts w:ascii="Bookman Old Style" w:hAnsi="Bookman Old Style"/>
          <w:lang/>
        </w:rPr>
      </w:pPr>
      <w:r>
        <w:rPr>
          <w:rStyle w:val="Strong"/>
          <w:rFonts w:ascii="Bookman Old Style" w:hAnsi="Bookman Old Style"/>
          <w:lang/>
        </w:rPr>
        <w:t xml:space="preserve">                  </w:t>
      </w:r>
      <w:r w:rsidRPr="002C5CB4">
        <w:rPr>
          <w:rStyle w:val="Strong"/>
          <w:rFonts w:ascii="Bookman Old Style" w:hAnsi="Bookman Old Style"/>
          <w:lang/>
        </w:rPr>
        <w:t>FARLAM JA</w:t>
      </w:r>
    </w:p>
    <w:p w:rsidR="002C5CB4" w:rsidRPr="002C5CB4" w:rsidRDefault="002C5CB4" w:rsidP="002C5CB4">
      <w:pPr>
        <w:pStyle w:val="NormalWeb"/>
        <w:spacing w:line="360" w:lineRule="auto"/>
        <w:jc w:val="both"/>
        <w:rPr>
          <w:rFonts w:ascii="Bookman Old Style" w:hAnsi="Bookman Old Style"/>
          <w:lang/>
        </w:rPr>
      </w:pPr>
      <w:r w:rsidRPr="002C5CB4">
        <w:rPr>
          <w:rStyle w:val="Strong"/>
          <w:rFonts w:ascii="Bookman Old Style" w:hAnsi="Bookman Old Style"/>
          <w:lang/>
        </w:rPr>
        <w:t xml:space="preserve">FOR THE APPELLANT </w:t>
      </w:r>
      <w:r>
        <w:rPr>
          <w:rStyle w:val="Strong"/>
          <w:rFonts w:ascii="Bookman Old Style" w:hAnsi="Bookman Old Style"/>
          <w:lang/>
        </w:rPr>
        <w:t xml:space="preserve">        </w:t>
      </w:r>
      <w:r w:rsidRPr="002C5CB4">
        <w:rPr>
          <w:rStyle w:val="Strong"/>
          <w:rFonts w:ascii="Bookman Old Style" w:hAnsi="Bookman Old Style"/>
          <w:lang/>
        </w:rPr>
        <w:t>MR. P.M. SHILUBANE</w:t>
      </w:r>
    </w:p>
    <w:p w:rsidR="002C5CB4" w:rsidRPr="002C5CB4" w:rsidRDefault="002C5CB4" w:rsidP="002C5CB4">
      <w:pPr>
        <w:pStyle w:val="NormalWeb"/>
        <w:spacing w:line="360" w:lineRule="auto"/>
        <w:jc w:val="both"/>
        <w:rPr>
          <w:rFonts w:ascii="Bookman Old Style" w:hAnsi="Bookman Old Style"/>
          <w:lang/>
        </w:rPr>
      </w:pPr>
      <w:r w:rsidRPr="002C5CB4">
        <w:rPr>
          <w:rStyle w:val="Strong"/>
          <w:rFonts w:ascii="Bookman Old Style" w:hAnsi="Bookman Old Style"/>
          <w:lang/>
        </w:rPr>
        <w:t xml:space="preserve">FOR THE RESPONDENT </w:t>
      </w:r>
      <w:r>
        <w:rPr>
          <w:rStyle w:val="Strong"/>
          <w:rFonts w:ascii="Bookman Old Style" w:hAnsi="Bookman Old Style"/>
          <w:lang/>
        </w:rPr>
        <w:t xml:space="preserve">     </w:t>
      </w:r>
      <w:bookmarkStart w:id="0" w:name="_GoBack"/>
      <w:bookmarkEnd w:id="0"/>
      <w:r w:rsidRPr="002C5CB4">
        <w:rPr>
          <w:rStyle w:val="Strong"/>
          <w:rFonts w:ascii="Bookman Old Style" w:hAnsi="Bookman Old Style"/>
          <w:lang/>
        </w:rPr>
        <w:t>MS. J.M. VAN DER WALT</w:t>
      </w:r>
    </w:p>
    <w:p w:rsidR="002C5CB4" w:rsidRPr="002C5CB4" w:rsidRDefault="002C5CB4" w:rsidP="002C5CB4">
      <w:pPr>
        <w:pStyle w:val="NormalWeb"/>
        <w:spacing w:line="360" w:lineRule="auto"/>
        <w:jc w:val="both"/>
        <w:rPr>
          <w:rFonts w:ascii="Bookman Old Style" w:hAnsi="Bookman Old Style"/>
          <w:lang/>
        </w:rPr>
      </w:pPr>
      <w:r w:rsidRPr="002C5CB4">
        <w:rPr>
          <w:rStyle w:val="Strong"/>
          <w:rFonts w:ascii="Bookman Old Style" w:hAnsi="Bookman Old Style"/>
          <w:lang/>
        </w:rPr>
        <w:t>JUDGMENT</w:t>
      </w:r>
    </w:p>
    <w:p w:rsidR="002C5CB4" w:rsidRPr="002C5CB4" w:rsidRDefault="002C5CB4" w:rsidP="002C5CB4">
      <w:pPr>
        <w:pStyle w:val="NormalWeb"/>
        <w:spacing w:line="360" w:lineRule="auto"/>
        <w:jc w:val="both"/>
        <w:rPr>
          <w:rFonts w:ascii="Bookman Old Style" w:hAnsi="Bookman Old Style"/>
          <w:lang/>
        </w:rPr>
      </w:pPr>
      <w:r w:rsidRPr="002C5CB4">
        <w:rPr>
          <w:rStyle w:val="Emphasis"/>
          <w:rFonts w:ascii="Bookman Old Style" w:hAnsi="Bookman Old Style"/>
          <w:lang/>
        </w:rPr>
        <w:lastRenderedPageBreak/>
        <w:t>Review application – points in limine of misjoinder and lack of locus standi upheld in Court a quo and reconsidered on appeal – piercing of corporate veil – pyramid scheme - whether findings on piercing were obiter – court of appeal should not remit in such circumstances – appeal dismissed.</w:t>
      </w:r>
    </w:p>
    <w:p w:rsidR="002C5CB4" w:rsidRPr="002C5CB4" w:rsidRDefault="002C5CB4" w:rsidP="002C5CB4">
      <w:pPr>
        <w:pStyle w:val="NormalWeb"/>
        <w:spacing w:line="360" w:lineRule="auto"/>
        <w:jc w:val="both"/>
        <w:rPr>
          <w:rFonts w:ascii="Bookman Old Style" w:hAnsi="Bookman Old Style"/>
          <w:lang/>
        </w:rPr>
      </w:pPr>
      <w:r w:rsidRPr="002C5CB4">
        <w:rPr>
          <w:rStyle w:val="Strong"/>
          <w:rFonts w:ascii="Bookman Old Style" w:hAnsi="Bookman Old Style"/>
          <w:lang/>
        </w:rPr>
        <w:t>FOXCROFT JA:</w:t>
      </w:r>
    </w:p>
    <w:p w:rsidR="002C5CB4" w:rsidRPr="002C5CB4" w:rsidRDefault="002C5CB4" w:rsidP="002C5CB4">
      <w:pPr>
        <w:pStyle w:val="NormalWeb"/>
        <w:spacing w:line="360" w:lineRule="auto"/>
        <w:ind w:left="720"/>
        <w:jc w:val="both"/>
        <w:rPr>
          <w:rFonts w:ascii="Bookman Old Style" w:hAnsi="Bookman Old Style"/>
          <w:lang/>
        </w:rPr>
      </w:pPr>
      <w:r w:rsidRPr="002C5CB4">
        <w:rPr>
          <w:rFonts w:ascii="Bookman Old Style" w:hAnsi="Bookman Old Style"/>
          <w:lang/>
        </w:rPr>
        <w:t xml:space="preserve">[1] The background to this appeal is set out in the judgment of this Court delivered by Magid AJA in May, 2009. That appeal to this Court was struck off the roll, it being held that the ruling of </w:t>
      </w:r>
      <w:proofErr w:type="spellStart"/>
      <w:r w:rsidRPr="002C5CB4">
        <w:rPr>
          <w:rFonts w:ascii="Bookman Old Style" w:hAnsi="Bookman Old Style"/>
          <w:lang/>
        </w:rPr>
        <w:t>Maphalala</w:t>
      </w:r>
      <w:proofErr w:type="spellEnd"/>
      <w:r w:rsidRPr="002C5CB4">
        <w:rPr>
          <w:rFonts w:ascii="Bookman Old Style" w:hAnsi="Bookman Old Style"/>
          <w:lang/>
        </w:rPr>
        <w:t xml:space="preserve"> J in the Court </w:t>
      </w:r>
      <w:r w:rsidRPr="002C5CB4">
        <w:rPr>
          <w:rStyle w:val="Emphasis"/>
          <w:rFonts w:ascii="Bookman Old Style" w:hAnsi="Bookman Old Style"/>
          <w:lang/>
        </w:rPr>
        <w:t>a quo</w:t>
      </w:r>
      <w:r w:rsidRPr="002C5CB4">
        <w:rPr>
          <w:rFonts w:ascii="Bookman Old Style" w:hAnsi="Bookman Old Style"/>
          <w:lang/>
        </w:rPr>
        <w:t xml:space="preserve"> converting an application into a Rule 53 review was not appealable. The review proceeded and two points </w:t>
      </w:r>
      <w:r w:rsidRPr="002C5CB4">
        <w:rPr>
          <w:rStyle w:val="Emphasis"/>
          <w:rFonts w:ascii="Bookman Old Style" w:hAnsi="Bookman Old Style"/>
          <w:lang/>
        </w:rPr>
        <w:t>in limine</w:t>
      </w:r>
      <w:r w:rsidRPr="002C5CB4">
        <w:rPr>
          <w:rFonts w:ascii="Bookman Old Style" w:hAnsi="Bookman Old Style"/>
          <w:lang/>
        </w:rPr>
        <w:t xml:space="preserve"> raised by the respondents were upheld, with costs. The unsuccessful applicants appealed to this Court in an attempt to set aside the seizure and freezing of their bank accounts and assets by the first respondent.</w:t>
      </w:r>
    </w:p>
    <w:p w:rsidR="002C5CB4" w:rsidRPr="002C5CB4" w:rsidRDefault="002C5CB4" w:rsidP="002C5CB4">
      <w:pPr>
        <w:pStyle w:val="NormalWeb"/>
        <w:spacing w:line="360" w:lineRule="auto"/>
        <w:ind w:left="720"/>
        <w:jc w:val="both"/>
        <w:rPr>
          <w:rFonts w:ascii="Bookman Old Style" w:hAnsi="Bookman Old Style"/>
          <w:lang/>
        </w:rPr>
      </w:pPr>
      <w:r w:rsidRPr="002C5CB4">
        <w:rPr>
          <w:rFonts w:ascii="Bookman Old Style" w:hAnsi="Bookman Old Style"/>
          <w:lang/>
        </w:rPr>
        <w:t xml:space="preserve">[2] In the judgment of the Court </w:t>
      </w:r>
      <w:r w:rsidRPr="002C5CB4">
        <w:rPr>
          <w:rStyle w:val="Emphasis"/>
          <w:rFonts w:ascii="Bookman Old Style" w:hAnsi="Bookman Old Style"/>
          <w:lang/>
        </w:rPr>
        <w:t xml:space="preserve">a quo, </w:t>
      </w:r>
      <w:proofErr w:type="spellStart"/>
      <w:r w:rsidRPr="002C5CB4">
        <w:rPr>
          <w:rFonts w:ascii="Bookman Old Style" w:hAnsi="Bookman Old Style"/>
          <w:lang/>
        </w:rPr>
        <w:t>Maphalala</w:t>
      </w:r>
      <w:proofErr w:type="spellEnd"/>
      <w:r w:rsidRPr="002C5CB4">
        <w:rPr>
          <w:rFonts w:ascii="Bookman Old Style" w:hAnsi="Bookman Old Style"/>
          <w:lang/>
        </w:rPr>
        <w:t xml:space="preserve"> J dealt with the merits of the matter after upholding the respondents’ points </w:t>
      </w:r>
      <w:r w:rsidRPr="002C5CB4">
        <w:rPr>
          <w:rStyle w:val="Emphasis"/>
          <w:rFonts w:ascii="Bookman Old Style" w:hAnsi="Bookman Old Style"/>
          <w:lang/>
        </w:rPr>
        <w:t>in limine</w:t>
      </w:r>
      <w:r w:rsidRPr="002C5CB4">
        <w:rPr>
          <w:rFonts w:ascii="Bookman Old Style" w:hAnsi="Bookman Old Style"/>
          <w:lang/>
        </w:rPr>
        <w:t xml:space="preserve"> but stressed that his judgment “should be regarded as </w:t>
      </w:r>
      <w:r w:rsidRPr="002C5CB4">
        <w:rPr>
          <w:rStyle w:val="Emphasis"/>
          <w:rFonts w:ascii="Bookman Old Style" w:hAnsi="Bookman Old Style"/>
          <w:lang/>
        </w:rPr>
        <w:t>obiter dictum”</w:t>
      </w:r>
      <w:r w:rsidRPr="002C5CB4">
        <w:rPr>
          <w:rFonts w:ascii="Bookman Old Style" w:hAnsi="Bookman Old Style"/>
          <w:lang/>
        </w:rPr>
        <w:t xml:space="preserve"> on the merits. What led to this lengthy litigation was a letter to the first appellant on the 26</w:t>
      </w:r>
      <w:r w:rsidRPr="002C5CB4">
        <w:rPr>
          <w:rFonts w:ascii="Bookman Old Style" w:hAnsi="Bookman Old Style"/>
          <w:vertAlign w:val="superscript"/>
          <w:lang/>
        </w:rPr>
        <w:t>th</w:t>
      </w:r>
      <w:r w:rsidRPr="002C5CB4">
        <w:rPr>
          <w:rFonts w:ascii="Bookman Old Style" w:hAnsi="Bookman Old Style"/>
          <w:lang/>
        </w:rPr>
        <w:t xml:space="preserve"> November, 2008 informing him that bank accounts of all three applicants had been seized by the first respondent pursuant to the provisions of the Financial Institutions Act, 2005. Unlawful deposit-taking was said to be the reason for the seizure, and the first respondent alleged in his answering affidavit that the first applicant had created a pyramid scheme which had unlawfully taken substantial deposits from the public. In his second judgment in the matter </w:t>
      </w:r>
      <w:proofErr w:type="spellStart"/>
      <w:r w:rsidRPr="002C5CB4">
        <w:rPr>
          <w:rFonts w:ascii="Bookman Old Style" w:hAnsi="Bookman Old Style"/>
          <w:lang/>
        </w:rPr>
        <w:t>Maphalala</w:t>
      </w:r>
      <w:proofErr w:type="spellEnd"/>
      <w:r w:rsidRPr="002C5CB4">
        <w:rPr>
          <w:rFonts w:ascii="Bookman Old Style" w:hAnsi="Bookman Old Style"/>
          <w:lang/>
        </w:rPr>
        <w:t xml:space="preserve"> J found that –</w:t>
      </w:r>
    </w:p>
    <w:p w:rsidR="002C5CB4" w:rsidRPr="002C5CB4" w:rsidRDefault="002C5CB4" w:rsidP="002C5CB4">
      <w:pPr>
        <w:pStyle w:val="NormalWeb"/>
        <w:spacing w:line="360" w:lineRule="auto"/>
        <w:ind w:left="1440"/>
        <w:jc w:val="both"/>
        <w:rPr>
          <w:rFonts w:ascii="Bookman Old Style" w:hAnsi="Bookman Old Style"/>
          <w:lang/>
        </w:rPr>
      </w:pPr>
      <w:r w:rsidRPr="002C5CB4">
        <w:rPr>
          <w:rStyle w:val="Emphasis"/>
          <w:rFonts w:ascii="Bookman Old Style" w:hAnsi="Bookman Old Style"/>
          <w:lang/>
        </w:rPr>
        <w:t>“</w:t>
      </w:r>
      <w:proofErr w:type="gramStart"/>
      <w:r w:rsidRPr="002C5CB4">
        <w:rPr>
          <w:rStyle w:val="Emphasis"/>
          <w:rFonts w:ascii="Bookman Old Style" w:hAnsi="Bookman Old Style"/>
          <w:lang/>
        </w:rPr>
        <w:t>the</w:t>
      </w:r>
      <w:proofErr w:type="gramEnd"/>
      <w:r w:rsidRPr="002C5CB4">
        <w:rPr>
          <w:rStyle w:val="Emphasis"/>
          <w:rFonts w:ascii="Bookman Old Style" w:hAnsi="Bookman Old Style"/>
          <w:lang/>
        </w:rPr>
        <w:t xml:space="preserve"> affidavits further demonstrate conclusively that over R12 million was obtained from unsuspecting members of the public by the first applicant in the furtherance of his pyramid scheme”.</w:t>
      </w:r>
    </w:p>
    <w:p w:rsidR="002C5CB4" w:rsidRPr="002C5CB4" w:rsidRDefault="002C5CB4" w:rsidP="002C5CB4">
      <w:pPr>
        <w:pStyle w:val="NormalWeb"/>
        <w:spacing w:line="360" w:lineRule="auto"/>
        <w:ind w:left="720"/>
        <w:jc w:val="both"/>
        <w:rPr>
          <w:rFonts w:ascii="Bookman Old Style" w:hAnsi="Bookman Old Style"/>
          <w:lang/>
        </w:rPr>
      </w:pPr>
      <w:r w:rsidRPr="002C5CB4">
        <w:rPr>
          <w:rFonts w:ascii="Bookman Old Style" w:hAnsi="Bookman Old Style"/>
          <w:lang/>
        </w:rPr>
        <w:lastRenderedPageBreak/>
        <w:t xml:space="preserve">[3] On appeal before this Court, Mr. </w:t>
      </w:r>
      <w:proofErr w:type="spellStart"/>
      <w:r w:rsidRPr="002C5CB4">
        <w:rPr>
          <w:rFonts w:ascii="Bookman Old Style" w:hAnsi="Bookman Old Style"/>
          <w:lang/>
        </w:rPr>
        <w:t>Mabuza</w:t>
      </w:r>
      <w:proofErr w:type="spellEnd"/>
      <w:r w:rsidRPr="002C5CB4">
        <w:rPr>
          <w:rFonts w:ascii="Bookman Old Style" w:hAnsi="Bookman Old Style"/>
          <w:lang/>
        </w:rPr>
        <w:t xml:space="preserve">, for the appellants, submitted that the Court </w:t>
      </w:r>
      <w:r w:rsidRPr="002C5CB4">
        <w:rPr>
          <w:rStyle w:val="Emphasis"/>
          <w:rFonts w:ascii="Bookman Old Style" w:hAnsi="Bookman Old Style"/>
          <w:lang/>
        </w:rPr>
        <w:t>a quo</w:t>
      </w:r>
      <w:r w:rsidRPr="002C5CB4">
        <w:rPr>
          <w:rFonts w:ascii="Bookman Old Style" w:hAnsi="Bookman Old Style"/>
          <w:lang/>
        </w:rPr>
        <w:t xml:space="preserve"> had erred in upholding the first point </w:t>
      </w:r>
      <w:r w:rsidRPr="002C5CB4">
        <w:rPr>
          <w:rStyle w:val="Emphasis"/>
          <w:rFonts w:ascii="Bookman Old Style" w:hAnsi="Bookman Old Style"/>
          <w:lang/>
        </w:rPr>
        <w:t>in limine</w:t>
      </w:r>
      <w:r w:rsidRPr="002C5CB4">
        <w:rPr>
          <w:rFonts w:ascii="Bookman Old Style" w:hAnsi="Bookman Old Style"/>
          <w:lang/>
        </w:rPr>
        <w:t xml:space="preserve"> (misjoinder) in stating that the application was “bad in law for unlawful misjoinder” and that “on this ground as well, the application stands to be dismissed”. Mr. </w:t>
      </w:r>
      <w:proofErr w:type="spellStart"/>
      <w:r w:rsidRPr="002C5CB4">
        <w:rPr>
          <w:rFonts w:ascii="Bookman Old Style" w:hAnsi="Bookman Old Style"/>
          <w:lang/>
        </w:rPr>
        <w:t>Joubert</w:t>
      </w:r>
      <w:proofErr w:type="spellEnd"/>
      <w:r w:rsidRPr="002C5CB4">
        <w:rPr>
          <w:rFonts w:ascii="Bookman Old Style" w:hAnsi="Bookman Old Style"/>
          <w:lang/>
        </w:rPr>
        <w:t xml:space="preserve">, for the respondents conceded, correctly in our view, the validity of this submission. Misjoinder, being a dilatory plea, should not have resulted, even in part, in the dismissal of the application. See: </w:t>
      </w:r>
      <w:proofErr w:type="spellStart"/>
      <w:r w:rsidRPr="002C5CB4">
        <w:rPr>
          <w:rStyle w:val="Emphasis"/>
          <w:rFonts w:ascii="Bookman Old Style" w:hAnsi="Bookman Old Style"/>
          <w:lang/>
        </w:rPr>
        <w:t>Tabha</w:t>
      </w:r>
      <w:proofErr w:type="spellEnd"/>
      <w:r w:rsidRPr="002C5CB4">
        <w:rPr>
          <w:rStyle w:val="Emphasis"/>
          <w:rFonts w:ascii="Bookman Old Style" w:hAnsi="Bookman Old Style"/>
          <w:lang/>
        </w:rPr>
        <w:t xml:space="preserve"> v. </w:t>
      </w:r>
      <w:proofErr w:type="spellStart"/>
      <w:r w:rsidRPr="002C5CB4">
        <w:rPr>
          <w:rStyle w:val="Emphasis"/>
          <w:rFonts w:ascii="Bookman Old Style" w:hAnsi="Bookman Old Style"/>
          <w:lang/>
        </w:rPr>
        <w:t>Moodley</w:t>
      </w:r>
      <w:proofErr w:type="spellEnd"/>
      <w:r w:rsidRPr="002C5CB4">
        <w:rPr>
          <w:rStyle w:val="Emphasis"/>
          <w:rFonts w:ascii="Bookman Old Style" w:hAnsi="Bookman Old Style"/>
          <w:lang/>
        </w:rPr>
        <w:t xml:space="preserve"> 1957(1) SA (N) 659</w:t>
      </w:r>
      <w:r w:rsidRPr="002C5CB4">
        <w:rPr>
          <w:rFonts w:ascii="Bookman Old Style" w:hAnsi="Bookman Old Style"/>
          <w:lang/>
        </w:rPr>
        <w:t xml:space="preserve"> at 660 C-D.</w:t>
      </w:r>
    </w:p>
    <w:p w:rsidR="002C5CB4" w:rsidRPr="002C5CB4" w:rsidRDefault="002C5CB4" w:rsidP="002C5CB4">
      <w:pPr>
        <w:pStyle w:val="NormalWeb"/>
        <w:spacing w:line="360" w:lineRule="auto"/>
        <w:ind w:left="720"/>
        <w:jc w:val="both"/>
        <w:rPr>
          <w:rFonts w:ascii="Bookman Old Style" w:hAnsi="Bookman Old Style"/>
          <w:lang/>
        </w:rPr>
      </w:pPr>
      <w:r w:rsidRPr="002C5CB4">
        <w:rPr>
          <w:rFonts w:ascii="Bookman Old Style" w:hAnsi="Bookman Old Style"/>
          <w:lang/>
        </w:rPr>
        <w:t xml:space="preserve">[4] In dealing with the second point </w:t>
      </w:r>
      <w:r w:rsidRPr="002C5CB4">
        <w:rPr>
          <w:rStyle w:val="Emphasis"/>
          <w:rFonts w:ascii="Bookman Old Style" w:hAnsi="Bookman Old Style"/>
          <w:lang/>
        </w:rPr>
        <w:t>in limine</w:t>
      </w:r>
      <w:r w:rsidRPr="002C5CB4">
        <w:rPr>
          <w:rFonts w:ascii="Bookman Old Style" w:hAnsi="Bookman Old Style"/>
          <w:lang/>
        </w:rPr>
        <w:t xml:space="preserve"> of lack of </w:t>
      </w:r>
      <w:r w:rsidRPr="002C5CB4">
        <w:rPr>
          <w:rStyle w:val="Emphasis"/>
          <w:rFonts w:ascii="Bookman Old Style" w:hAnsi="Bookman Old Style"/>
          <w:lang/>
        </w:rPr>
        <w:t xml:space="preserve">locus standi </w:t>
      </w:r>
      <w:r w:rsidRPr="002C5CB4">
        <w:rPr>
          <w:rFonts w:ascii="Bookman Old Style" w:hAnsi="Bookman Old Style"/>
          <w:lang/>
        </w:rPr>
        <w:t xml:space="preserve">on the part of the “fourth applicant”, Mr. </w:t>
      </w:r>
      <w:proofErr w:type="spellStart"/>
      <w:r w:rsidRPr="002C5CB4">
        <w:rPr>
          <w:rFonts w:ascii="Bookman Old Style" w:hAnsi="Bookman Old Style"/>
          <w:lang/>
        </w:rPr>
        <w:t>Mabuza</w:t>
      </w:r>
      <w:proofErr w:type="spellEnd"/>
      <w:r w:rsidRPr="002C5CB4">
        <w:rPr>
          <w:rFonts w:ascii="Bookman Old Style" w:hAnsi="Bookman Old Style"/>
          <w:lang/>
        </w:rPr>
        <w:t xml:space="preserve"> then referred to the well-known rule in </w:t>
      </w:r>
      <w:r w:rsidRPr="002C5CB4">
        <w:rPr>
          <w:rStyle w:val="Emphasis"/>
          <w:rFonts w:ascii="Bookman Old Style" w:hAnsi="Bookman Old Style"/>
          <w:lang/>
        </w:rPr>
        <w:t xml:space="preserve">Salomon v. Salomon &amp; Company (1897) AC 22 (HL), </w:t>
      </w:r>
      <w:r w:rsidRPr="002C5CB4">
        <w:rPr>
          <w:rFonts w:ascii="Bookman Old Style" w:hAnsi="Bookman Old Style"/>
          <w:lang/>
        </w:rPr>
        <w:t>which established the legal principle of the separate legal personality of a company from its members. The piercing of this “corporate veil” may only occur in certain exceptional circumstances when the Court –</w:t>
      </w:r>
    </w:p>
    <w:p w:rsidR="002C5CB4" w:rsidRPr="002C5CB4" w:rsidRDefault="002C5CB4" w:rsidP="002C5CB4">
      <w:pPr>
        <w:pStyle w:val="NormalWeb"/>
        <w:spacing w:line="360" w:lineRule="auto"/>
        <w:ind w:left="1440"/>
        <w:jc w:val="both"/>
        <w:rPr>
          <w:rFonts w:ascii="Bookman Old Style" w:hAnsi="Bookman Old Style"/>
          <w:lang/>
        </w:rPr>
      </w:pPr>
      <w:r w:rsidRPr="002C5CB4">
        <w:rPr>
          <w:rStyle w:val="Emphasis"/>
          <w:rFonts w:ascii="Bookman Old Style" w:hAnsi="Bookman Old Style"/>
          <w:lang/>
        </w:rPr>
        <w:t xml:space="preserve">“either ignores the company and treats its members as if they were the owners of its assets and were conducting its business in their personal capacities, or attributes rights or obligations of the members to the </w:t>
      </w:r>
      <w:proofErr w:type="spellStart"/>
      <w:r w:rsidRPr="002C5CB4">
        <w:rPr>
          <w:rStyle w:val="Emphasis"/>
          <w:rFonts w:ascii="Bookman Old Style" w:hAnsi="Bookman Old Style"/>
          <w:lang/>
        </w:rPr>
        <w:t>company”.</w:t>
      </w:r>
      <w:r w:rsidRPr="002C5CB4">
        <w:rPr>
          <w:rFonts w:ascii="Bookman Old Style" w:hAnsi="Bookman Old Style"/>
          <w:lang/>
        </w:rPr>
        <w:t>See</w:t>
      </w:r>
      <w:proofErr w:type="spellEnd"/>
      <w:r w:rsidRPr="002C5CB4">
        <w:rPr>
          <w:rFonts w:ascii="Bookman Old Style" w:hAnsi="Bookman Old Style"/>
          <w:lang/>
        </w:rPr>
        <w:t xml:space="preserve"> the title Companies by the late Professor Blackman in </w:t>
      </w:r>
      <w:proofErr w:type="spellStart"/>
      <w:r w:rsidRPr="002C5CB4">
        <w:rPr>
          <w:rFonts w:ascii="Bookman Old Style" w:hAnsi="Bookman Old Style"/>
          <w:lang/>
        </w:rPr>
        <w:t>Lawsa</w:t>
      </w:r>
      <w:proofErr w:type="spellEnd"/>
      <w:r w:rsidRPr="002C5CB4">
        <w:rPr>
          <w:rFonts w:ascii="Bookman Old Style" w:hAnsi="Bookman Old Style"/>
          <w:lang/>
        </w:rPr>
        <w:t xml:space="preserve">, First Reissue Vol.4 (1) </w:t>
      </w:r>
      <w:proofErr w:type="spellStart"/>
      <w:r w:rsidRPr="002C5CB4">
        <w:rPr>
          <w:rFonts w:ascii="Bookman Old Style" w:hAnsi="Bookman Old Style"/>
          <w:lang/>
        </w:rPr>
        <w:t>para</w:t>
      </w:r>
      <w:proofErr w:type="spellEnd"/>
      <w:r w:rsidRPr="002C5CB4">
        <w:rPr>
          <w:rFonts w:ascii="Bookman Old Style" w:hAnsi="Bookman Old Style"/>
          <w:lang/>
        </w:rPr>
        <w:t xml:space="preserve"> 41.</w:t>
      </w:r>
    </w:p>
    <w:p w:rsidR="002C5CB4" w:rsidRPr="002C5CB4" w:rsidRDefault="002C5CB4" w:rsidP="002C5CB4">
      <w:pPr>
        <w:pStyle w:val="NormalWeb"/>
        <w:spacing w:line="360" w:lineRule="auto"/>
        <w:ind w:left="720"/>
        <w:jc w:val="both"/>
        <w:rPr>
          <w:rFonts w:ascii="Bookman Old Style" w:hAnsi="Bookman Old Style"/>
          <w:lang/>
        </w:rPr>
      </w:pPr>
      <w:proofErr w:type="gramStart"/>
      <w:r w:rsidRPr="002C5CB4">
        <w:rPr>
          <w:rFonts w:ascii="Bookman Old Style" w:hAnsi="Bookman Old Style"/>
          <w:lang/>
        </w:rPr>
        <w:t>and</w:t>
      </w:r>
      <w:proofErr w:type="gramEnd"/>
      <w:r w:rsidRPr="002C5CB4">
        <w:rPr>
          <w:rFonts w:ascii="Bookman Old Style" w:hAnsi="Bookman Old Style"/>
          <w:lang/>
        </w:rPr>
        <w:t xml:space="preserve"> where the members of the company have not only complete (or near complete) ownership and control of the company, but also such control that the company has “no separate mind, will or existence of its own”. </w:t>
      </w:r>
      <w:proofErr w:type="spellStart"/>
      <w:proofErr w:type="gramStart"/>
      <w:r w:rsidRPr="002C5CB4">
        <w:rPr>
          <w:rStyle w:val="Emphasis"/>
          <w:rFonts w:ascii="Bookman Old Style" w:hAnsi="Bookman Old Style"/>
          <w:lang/>
        </w:rPr>
        <w:t>Lawsa</w:t>
      </w:r>
      <w:proofErr w:type="spellEnd"/>
      <w:r w:rsidRPr="002C5CB4">
        <w:rPr>
          <w:rStyle w:val="Emphasis"/>
          <w:rFonts w:ascii="Bookman Old Style" w:hAnsi="Bookman Old Style"/>
          <w:lang/>
        </w:rPr>
        <w:t xml:space="preserve">, </w:t>
      </w:r>
      <w:proofErr w:type="spellStart"/>
      <w:r w:rsidRPr="002C5CB4">
        <w:rPr>
          <w:rStyle w:val="Emphasis"/>
          <w:rFonts w:ascii="Bookman Old Style" w:hAnsi="Bookman Old Style"/>
          <w:lang/>
        </w:rPr>
        <w:t>op.cit</w:t>
      </w:r>
      <w:proofErr w:type="spellEnd"/>
      <w:r w:rsidRPr="002C5CB4">
        <w:rPr>
          <w:rStyle w:val="Emphasis"/>
          <w:rFonts w:ascii="Bookman Old Style" w:hAnsi="Bookman Old Style"/>
          <w:lang/>
        </w:rPr>
        <w:t xml:space="preserve"> </w:t>
      </w:r>
      <w:proofErr w:type="spellStart"/>
      <w:r w:rsidRPr="002C5CB4">
        <w:rPr>
          <w:rStyle w:val="Emphasis"/>
          <w:rFonts w:ascii="Bookman Old Style" w:hAnsi="Bookman Old Style"/>
          <w:lang/>
        </w:rPr>
        <w:t>para</w:t>
      </w:r>
      <w:proofErr w:type="spellEnd"/>
      <w:r w:rsidRPr="002C5CB4">
        <w:rPr>
          <w:rStyle w:val="Emphasis"/>
          <w:rFonts w:ascii="Bookman Old Style" w:hAnsi="Bookman Old Style"/>
          <w:lang/>
        </w:rPr>
        <w:t xml:space="preserve"> 43.</w:t>
      </w:r>
      <w:proofErr w:type="gramEnd"/>
    </w:p>
    <w:p w:rsidR="002C5CB4" w:rsidRPr="002C5CB4" w:rsidRDefault="002C5CB4" w:rsidP="002C5CB4">
      <w:pPr>
        <w:pStyle w:val="NormalWeb"/>
        <w:spacing w:line="360" w:lineRule="auto"/>
        <w:ind w:left="720"/>
        <w:jc w:val="both"/>
        <w:rPr>
          <w:rFonts w:ascii="Bookman Old Style" w:hAnsi="Bookman Old Style"/>
          <w:lang/>
        </w:rPr>
      </w:pPr>
      <w:r w:rsidRPr="002C5CB4">
        <w:rPr>
          <w:rFonts w:ascii="Bookman Old Style" w:hAnsi="Bookman Old Style"/>
          <w:lang/>
        </w:rPr>
        <w:t xml:space="preserve">[5] While these are necessary but not sufficient conditions for “piercing” the veil, it has </w:t>
      </w:r>
      <w:proofErr w:type="spellStart"/>
      <w:r w:rsidRPr="002C5CB4">
        <w:rPr>
          <w:rFonts w:ascii="Bookman Old Style" w:hAnsi="Bookman Old Style"/>
          <w:lang/>
        </w:rPr>
        <w:t>became</w:t>
      </w:r>
      <w:proofErr w:type="spellEnd"/>
      <w:r w:rsidRPr="002C5CB4">
        <w:rPr>
          <w:rFonts w:ascii="Bookman Old Style" w:hAnsi="Bookman Old Style"/>
          <w:lang/>
        </w:rPr>
        <w:t xml:space="preserve"> accepted that the court will only do so where the facts indicate that the separate existence of the company is in some sense being abused in order to perpetrate fraud or where the company is being treated as the “alter ego” or instrumentality of </w:t>
      </w:r>
      <w:r w:rsidRPr="002C5CB4">
        <w:rPr>
          <w:rFonts w:ascii="Bookman Old Style" w:hAnsi="Bookman Old Style"/>
          <w:lang/>
        </w:rPr>
        <w:lastRenderedPageBreak/>
        <w:t xml:space="preserve">the controlling shareholders to promote their private, extra-corporate interests. </w:t>
      </w:r>
      <w:proofErr w:type="spellStart"/>
      <w:r w:rsidRPr="002C5CB4">
        <w:rPr>
          <w:rStyle w:val="Emphasis"/>
          <w:rFonts w:ascii="Bookman Old Style" w:hAnsi="Bookman Old Style"/>
          <w:lang/>
        </w:rPr>
        <w:t>Lawsa</w:t>
      </w:r>
      <w:proofErr w:type="spellEnd"/>
      <w:r w:rsidRPr="002C5CB4">
        <w:rPr>
          <w:rStyle w:val="Emphasis"/>
          <w:rFonts w:ascii="Bookman Old Style" w:hAnsi="Bookman Old Style"/>
          <w:lang/>
        </w:rPr>
        <w:t xml:space="preserve">, op. </w:t>
      </w:r>
      <w:proofErr w:type="spellStart"/>
      <w:r w:rsidRPr="002C5CB4">
        <w:rPr>
          <w:rStyle w:val="Emphasis"/>
          <w:rFonts w:ascii="Bookman Old Style" w:hAnsi="Bookman Old Style"/>
          <w:lang/>
        </w:rPr>
        <w:t>cit</w:t>
      </w:r>
      <w:proofErr w:type="spellEnd"/>
      <w:r w:rsidRPr="002C5CB4">
        <w:rPr>
          <w:rStyle w:val="Emphasis"/>
          <w:rFonts w:ascii="Bookman Old Style" w:hAnsi="Bookman Old Style"/>
          <w:lang/>
        </w:rPr>
        <w:t xml:space="preserve"> </w:t>
      </w:r>
      <w:proofErr w:type="spellStart"/>
      <w:r w:rsidRPr="002C5CB4">
        <w:rPr>
          <w:rStyle w:val="Emphasis"/>
          <w:rFonts w:ascii="Bookman Old Style" w:hAnsi="Bookman Old Style"/>
          <w:lang/>
        </w:rPr>
        <w:t>para</w:t>
      </w:r>
      <w:proofErr w:type="spellEnd"/>
      <w:r w:rsidRPr="002C5CB4">
        <w:rPr>
          <w:rStyle w:val="Emphasis"/>
          <w:rFonts w:ascii="Bookman Old Style" w:hAnsi="Bookman Old Style"/>
          <w:lang/>
        </w:rPr>
        <w:t xml:space="preserve"> 44</w:t>
      </w:r>
    </w:p>
    <w:p w:rsidR="002C5CB4" w:rsidRPr="002C5CB4" w:rsidRDefault="002C5CB4" w:rsidP="002C5CB4">
      <w:pPr>
        <w:pStyle w:val="NormalWeb"/>
        <w:spacing w:line="360" w:lineRule="auto"/>
        <w:ind w:left="720"/>
        <w:jc w:val="both"/>
        <w:rPr>
          <w:rFonts w:ascii="Bookman Old Style" w:hAnsi="Bookman Old Style"/>
          <w:lang/>
        </w:rPr>
      </w:pPr>
      <w:r w:rsidRPr="002C5CB4">
        <w:rPr>
          <w:rFonts w:ascii="Bookman Old Style" w:hAnsi="Bookman Old Style"/>
          <w:lang/>
        </w:rPr>
        <w:t xml:space="preserve">[6] Mr. </w:t>
      </w:r>
      <w:proofErr w:type="spellStart"/>
      <w:r w:rsidRPr="002C5CB4">
        <w:rPr>
          <w:rFonts w:ascii="Bookman Old Style" w:hAnsi="Bookman Old Style"/>
          <w:lang/>
        </w:rPr>
        <w:t>Mabuza</w:t>
      </w:r>
      <w:proofErr w:type="spellEnd"/>
      <w:r w:rsidRPr="002C5CB4">
        <w:rPr>
          <w:rFonts w:ascii="Bookman Old Style" w:hAnsi="Bookman Old Style"/>
          <w:lang/>
        </w:rPr>
        <w:t xml:space="preserve"> contended that the </w:t>
      </w:r>
      <w:r w:rsidRPr="002C5CB4">
        <w:rPr>
          <w:rStyle w:val="Emphasis"/>
          <w:rFonts w:ascii="Bookman Old Style" w:hAnsi="Bookman Old Style"/>
          <w:lang/>
        </w:rPr>
        <w:t xml:space="preserve">obiter </w:t>
      </w:r>
      <w:r w:rsidRPr="002C5CB4">
        <w:rPr>
          <w:rFonts w:ascii="Bookman Old Style" w:hAnsi="Bookman Old Style"/>
          <w:lang/>
        </w:rPr>
        <w:t xml:space="preserve">conclusion of the Court </w:t>
      </w:r>
      <w:r w:rsidRPr="002C5CB4">
        <w:rPr>
          <w:rStyle w:val="Emphasis"/>
          <w:rFonts w:ascii="Bookman Old Style" w:hAnsi="Bookman Old Style"/>
          <w:lang/>
        </w:rPr>
        <w:t>a quo</w:t>
      </w:r>
      <w:r w:rsidRPr="002C5CB4">
        <w:rPr>
          <w:rFonts w:ascii="Bookman Old Style" w:hAnsi="Bookman Old Style"/>
          <w:lang/>
        </w:rPr>
        <w:t xml:space="preserve"> that the first appellant had taken millions from innocent citizens of Swaziland and had siphoned money from his ‘alter egos’ to fund his luxurious lifestyle (</w:t>
      </w:r>
      <w:r w:rsidRPr="002C5CB4">
        <w:rPr>
          <w:rStyle w:val="Emphasis"/>
          <w:rFonts w:ascii="Bookman Old Style" w:hAnsi="Bookman Old Style"/>
          <w:lang/>
        </w:rPr>
        <w:t xml:space="preserve">Judgment, paragraphs 23, 33, 40, 43) </w:t>
      </w:r>
      <w:r w:rsidRPr="002C5CB4">
        <w:rPr>
          <w:rFonts w:ascii="Bookman Old Style" w:hAnsi="Bookman Old Style"/>
          <w:lang/>
        </w:rPr>
        <w:t>had no basis in law.</w:t>
      </w:r>
    </w:p>
    <w:p w:rsidR="002C5CB4" w:rsidRPr="002C5CB4" w:rsidRDefault="002C5CB4" w:rsidP="002C5CB4">
      <w:pPr>
        <w:pStyle w:val="NormalWeb"/>
        <w:spacing w:line="360" w:lineRule="auto"/>
        <w:ind w:left="720"/>
        <w:jc w:val="both"/>
        <w:rPr>
          <w:rFonts w:ascii="Bookman Old Style" w:hAnsi="Bookman Old Style"/>
          <w:lang/>
        </w:rPr>
      </w:pPr>
      <w:r w:rsidRPr="002C5CB4">
        <w:rPr>
          <w:rFonts w:ascii="Bookman Old Style" w:hAnsi="Bookman Old Style"/>
          <w:lang/>
        </w:rPr>
        <w:t xml:space="preserve">He referred to the </w:t>
      </w:r>
      <w:r w:rsidRPr="002C5CB4">
        <w:rPr>
          <w:rStyle w:val="Emphasis"/>
          <w:rFonts w:ascii="Bookman Old Style" w:hAnsi="Bookman Old Style"/>
          <w:lang/>
        </w:rPr>
        <w:t>Sixth Edition of Gower:</w:t>
      </w:r>
      <w:r w:rsidRPr="002C5CB4">
        <w:rPr>
          <w:rFonts w:ascii="Bookman Old Style" w:hAnsi="Bookman Old Style"/>
          <w:lang/>
        </w:rPr>
        <w:t xml:space="preserve"> </w:t>
      </w:r>
      <w:r w:rsidRPr="002C5CB4">
        <w:rPr>
          <w:rStyle w:val="Emphasis"/>
          <w:rFonts w:ascii="Bookman Old Style" w:hAnsi="Bookman Old Style"/>
          <w:lang/>
        </w:rPr>
        <w:t xml:space="preserve">Principles of Modern Company Law (1997) </w:t>
      </w:r>
      <w:r w:rsidRPr="002C5CB4">
        <w:rPr>
          <w:rFonts w:ascii="Bookman Old Style" w:hAnsi="Bookman Old Style"/>
          <w:lang/>
        </w:rPr>
        <w:t>at page 148 as authority for certain propositions which he advanced and then referred to section 102 of the Companies Act No.7 of 1912, which is not relevant for present purposes, and section 186(1) of the same Act.</w:t>
      </w:r>
    </w:p>
    <w:p w:rsidR="002C5CB4" w:rsidRPr="002C5CB4" w:rsidRDefault="002C5CB4" w:rsidP="002C5CB4">
      <w:pPr>
        <w:pStyle w:val="NormalWeb"/>
        <w:spacing w:line="360" w:lineRule="auto"/>
        <w:ind w:left="720"/>
        <w:jc w:val="both"/>
        <w:rPr>
          <w:rFonts w:ascii="Bookman Old Style" w:hAnsi="Bookman Old Style"/>
          <w:lang/>
        </w:rPr>
      </w:pPr>
      <w:r w:rsidRPr="002C5CB4">
        <w:rPr>
          <w:rFonts w:ascii="Bookman Old Style" w:hAnsi="Bookman Old Style"/>
          <w:lang/>
        </w:rPr>
        <w:t>[7] The latter section deals with the power of the Court, in the course of a winding-up, on the application of the Master, liquidator, creditor or contributory to examine the conduct of the promoter, director, manager, liquidator or officer of the company before ordering repayment or restoration of misappropriated money or property. The section has no bearing upon the doctrine of the piercing of the corporate veil, and can have no relevance to a dispute such as the one before this Court.</w:t>
      </w:r>
    </w:p>
    <w:p w:rsidR="002C5CB4" w:rsidRPr="002C5CB4" w:rsidRDefault="002C5CB4" w:rsidP="002C5CB4">
      <w:pPr>
        <w:pStyle w:val="NormalWeb"/>
        <w:spacing w:line="360" w:lineRule="auto"/>
        <w:ind w:left="720"/>
        <w:jc w:val="both"/>
        <w:rPr>
          <w:rFonts w:ascii="Bookman Old Style" w:hAnsi="Bookman Old Style"/>
          <w:lang/>
        </w:rPr>
      </w:pPr>
      <w:r w:rsidRPr="002C5CB4">
        <w:rPr>
          <w:rFonts w:ascii="Bookman Old Style" w:hAnsi="Bookman Old Style"/>
          <w:lang/>
        </w:rPr>
        <w:t xml:space="preserve">[8] Another category listed by Mr. </w:t>
      </w:r>
      <w:proofErr w:type="spellStart"/>
      <w:r w:rsidRPr="002C5CB4">
        <w:rPr>
          <w:rFonts w:ascii="Bookman Old Style" w:hAnsi="Bookman Old Style"/>
          <w:lang/>
        </w:rPr>
        <w:t>Mabuza</w:t>
      </w:r>
      <w:proofErr w:type="spellEnd"/>
      <w:r w:rsidRPr="002C5CB4">
        <w:rPr>
          <w:rFonts w:ascii="Bookman Old Style" w:hAnsi="Bookman Old Style"/>
          <w:lang/>
        </w:rPr>
        <w:t xml:space="preserve"> where the veil may be pierced was of premature trading.</w:t>
      </w:r>
    </w:p>
    <w:p w:rsidR="002C5CB4" w:rsidRPr="002C5CB4" w:rsidRDefault="002C5CB4" w:rsidP="002C5CB4">
      <w:pPr>
        <w:pStyle w:val="NormalWeb"/>
        <w:spacing w:line="360" w:lineRule="auto"/>
        <w:ind w:left="720"/>
        <w:jc w:val="both"/>
        <w:rPr>
          <w:rFonts w:ascii="Bookman Old Style" w:hAnsi="Bookman Old Style"/>
          <w:lang/>
        </w:rPr>
      </w:pPr>
      <w:r w:rsidRPr="002C5CB4">
        <w:rPr>
          <w:rFonts w:ascii="Bookman Old Style" w:hAnsi="Bookman Old Style"/>
          <w:lang/>
        </w:rPr>
        <w:t xml:space="preserve">The reference to premature trading appears to be misplaced. In the </w:t>
      </w:r>
      <w:r w:rsidRPr="002C5CB4">
        <w:rPr>
          <w:rStyle w:val="Emphasis"/>
          <w:rFonts w:ascii="Bookman Old Style" w:hAnsi="Bookman Old Style"/>
          <w:lang/>
        </w:rPr>
        <w:t xml:space="preserve">Seventh Edition of Gower and Davies’ Principles of Modern Company Law, </w:t>
      </w:r>
      <w:r w:rsidRPr="002C5CB4">
        <w:rPr>
          <w:rFonts w:ascii="Bookman Old Style" w:hAnsi="Bookman Old Style"/>
          <w:lang/>
        </w:rPr>
        <w:t xml:space="preserve">one finds the topic dealt with in Chapter 9 (which is headed </w:t>
      </w:r>
      <w:r w:rsidRPr="002C5CB4">
        <w:rPr>
          <w:rStyle w:val="Emphasis"/>
          <w:rFonts w:ascii="Bookman Old Style" w:hAnsi="Bookman Old Style"/>
          <w:lang/>
        </w:rPr>
        <w:t>Statutory Exceptions to Limited Liability)</w:t>
      </w:r>
      <w:r w:rsidRPr="002C5CB4">
        <w:rPr>
          <w:rFonts w:ascii="Bookman Old Style" w:hAnsi="Bookman Old Style"/>
          <w:lang/>
        </w:rPr>
        <w:t xml:space="preserve"> at page 194. Section 117(8) of the English Companies Act provides that a public limited company, newly incorporated, may not –</w:t>
      </w:r>
    </w:p>
    <w:p w:rsidR="002C5CB4" w:rsidRPr="002C5CB4" w:rsidRDefault="002C5CB4" w:rsidP="002C5CB4">
      <w:pPr>
        <w:pStyle w:val="NormalWeb"/>
        <w:spacing w:line="360" w:lineRule="auto"/>
        <w:ind w:left="720"/>
        <w:jc w:val="both"/>
        <w:rPr>
          <w:rFonts w:ascii="Bookman Old Style" w:hAnsi="Bookman Old Style"/>
          <w:lang/>
        </w:rPr>
      </w:pPr>
      <w:r w:rsidRPr="002C5CB4">
        <w:rPr>
          <w:rStyle w:val="Emphasis"/>
          <w:rFonts w:ascii="Bookman Old Style" w:hAnsi="Bookman Old Style"/>
          <w:lang/>
        </w:rPr>
        <w:lastRenderedPageBreak/>
        <w:t>“</w:t>
      </w:r>
      <w:proofErr w:type="gramStart"/>
      <w:r w:rsidRPr="002C5CB4">
        <w:rPr>
          <w:rStyle w:val="Emphasis"/>
          <w:rFonts w:ascii="Bookman Old Style" w:hAnsi="Bookman Old Style"/>
          <w:lang/>
        </w:rPr>
        <w:t>do</w:t>
      </w:r>
      <w:proofErr w:type="gramEnd"/>
      <w:r w:rsidRPr="002C5CB4">
        <w:rPr>
          <w:rStyle w:val="Emphasis"/>
          <w:rFonts w:ascii="Bookman Old Style" w:hAnsi="Bookman Old Style"/>
          <w:lang/>
        </w:rPr>
        <w:t xml:space="preserve"> business or exercise any borrowing powers”</w:t>
      </w:r>
    </w:p>
    <w:p w:rsidR="002C5CB4" w:rsidRPr="002C5CB4" w:rsidRDefault="002C5CB4" w:rsidP="002C5CB4">
      <w:pPr>
        <w:pStyle w:val="NormalWeb"/>
        <w:spacing w:line="360" w:lineRule="auto"/>
        <w:ind w:left="720"/>
        <w:jc w:val="both"/>
        <w:rPr>
          <w:rFonts w:ascii="Bookman Old Style" w:hAnsi="Bookman Old Style"/>
          <w:lang/>
        </w:rPr>
      </w:pPr>
      <w:proofErr w:type="gramStart"/>
      <w:r w:rsidRPr="002C5CB4">
        <w:rPr>
          <w:rFonts w:ascii="Bookman Old Style" w:hAnsi="Bookman Old Style"/>
          <w:lang/>
        </w:rPr>
        <w:t>until</w:t>
      </w:r>
      <w:proofErr w:type="gramEnd"/>
      <w:r w:rsidRPr="002C5CB4">
        <w:rPr>
          <w:rFonts w:ascii="Bookman Old Style" w:hAnsi="Bookman Old Style"/>
          <w:lang/>
        </w:rPr>
        <w:t xml:space="preserve"> it obtains from the Registrar of Companies, a certificate that it has complied with certain provisions of the Act.</w:t>
      </w:r>
    </w:p>
    <w:p w:rsidR="002C5CB4" w:rsidRPr="002C5CB4" w:rsidRDefault="002C5CB4" w:rsidP="002C5CB4">
      <w:pPr>
        <w:pStyle w:val="NormalWeb"/>
        <w:spacing w:line="360" w:lineRule="auto"/>
        <w:ind w:left="720"/>
        <w:jc w:val="both"/>
        <w:rPr>
          <w:rFonts w:ascii="Bookman Old Style" w:hAnsi="Bookman Old Style"/>
          <w:lang/>
        </w:rPr>
      </w:pPr>
      <w:r w:rsidRPr="002C5CB4">
        <w:rPr>
          <w:rFonts w:ascii="Bookman Old Style" w:hAnsi="Bookman Old Style"/>
          <w:lang/>
        </w:rPr>
        <w:t xml:space="preserve">While the unincorporated Channel S Proposed Savings &amp; Credit Co-operative Society Limited (“Channel S”) did collect large sums of money from the public, there was never any question of piercing its veil, since it did not have one. The other categories listed by Mr. </w:t>
      </w:r>
      <w:proofErr w:type="spellStart"/>
      <w:r w:rsidRPr="002C5CB4">
        <w:rPr>
          <w:rFonts w:ascii="Bookman Old Style" w:hAnsi="Bookman Old Style"/>
          <w:lang/>
        </w:rPr>
        <w:t>Mabuza</w:t>
      </w:r>
      <w:proofErr w:type="spellEnd"/>
      <w:r w:rsidRPr="002C5CB4">
        <w:rPr>
          <w:rFonts w:ascii="Bookman Old Style" w:hAnsi="Bookman Old Style"/>
          <w:lang/>
        </w:rPr>
        <w:t xml:space="preserve"> which he submitted permitted piercing of the veil, namely abuse of company names, </w:t>
      </w:r>
      <w:proofErr w:type="spellStart"/>
      <w:r w:rsidRPr="002C5CB4">
        <w:rPr>
          <w:rFonts w:ascii="Bookman Old Style" w:hAnsi="Bookman Old Style"/>
          <w:lang/>
        </w:rPr>
        <w:t>misdescription</w:t>
      </w:r>
      <w:proofErr w:type="spellEnd"/>
      <w:r w:rsidRPr="002C5CB4">
        <w:rPr>
          <w:rFonts w:ascii="Bookman Old Style" w:hAnsi="Bookman Old Style"/>
          <w:lang/>
        </w:rPr>
        <w:t xml:space="preserve"> of the company, and company groups also appear in Chapter 9 of Gower, </w:t>
      </w:r>
      <w:r w:rsidRPr="002C5CB4">
        <w:rPr>
          <w:rStyle w:val="Emphasis"/>
          <w:rFonts w:ascii="Bookman Old Style" w:hAnsi="Bookman Old Style"/>
          <w:lang/>
        </w:rPr>
        <w:t xml:space="preserve">op. cit. </w:t>
      </w:r>
      <w:r w:rsidRPr="002C5CB4">
        <w:rPr>
          <w:rFonts w:ascii="Bookman Old Style" w:hAnsi="Bookman Old Style"/>
          <w:lang/>
        </w:rPr>
        <w:t>and are statutory exceptions to limited liability.</w:t>
      </w:r>
    </w:p>
    <w:p w:rsidR="002C5CB4" w:rsidRPr="002C5CB4" w:rsidRDefault="002C5CB4" w:rsidP="002C5CB4">
      <w:pPr>
        <w:pStyle w:val="NormalWeb"/>
        <w:spacing w:line="360" w:lineRule="auto"/>
        <w:ind w:left="720"/>
        <w:jc w:val="both"/>
        <w:rPr>
          <w:rFonts w:ascii="Bookman Old Style" w:hAnsi="Bookman Old Style"/>
          <w:lang/>
        </w:rPr>
      </w:pPr>
      <w:r w:rsidRPr="002C5CB4">
        <w:rPr>
          <w:rFonts w:ascii="Bookman Old Style" w:hAnsi="Bookman Old Style"/>
          <w:lang/>
        </w:rPr>
        <w:t xml:space="preserve">[9] Chapter 8 in the work cited is where the piercing of the corporate veil is dealt with. Under the rubric “Façade or sham at page 185 the writer refers to the leading English case of </w:t>
      </w:r>
      <w:r w:rsidRPr="002C5CB4">
        <w:rPr>
          <w:rStyle w:val="Emphasis"/>
          <w:rFonts w:ascii="Bookman Old Style" w:hAnsi="Bookman Old Style"/>
          <w:lang/>
        </w:rPr>
        <w:t xml:space="preserve">Adams v. Cape Industries </w:t>
      </w:r>
      <w:proofErr w:type="spellStart"/>
      <w:r w:rsidRPr="002C5CB4">
        <w:rPr>
          <w:rStyle w:val="Emphasis"/>
          <w:rFonts w:ascii="Bookman Old Style" w:hAnsi="Bookman Old Style"/>
          <w:lang/>
        </w:rPr>
        <w:t>Plc</w:t>
      </w:r>
      <w:proofErr w:type="spellEnd"/>
      <w:r w:rsidRPr="002C5CB4">
        <w:rPr>
          <w:rStyle w:val="Emphasis"/>
          <w:rFonts w:ascii="Bookman Old Style" w:hAnsi="Bookman Old Style"/>
          <w:lang/>
        </w:rPr>
        <w:t xml:space="preserve"> [1990] </w:t>
      </w:r>
      <w:proofErr w:type="spellStart"/>
      <w:r w:rsidRPr="002C5CB4">
        <w:rPr>
          <w:rStyle w:val="Emphasis"/>
          <w:rFonts w:ascii="Bookman Old Style" w:hAnsi="Bookman Old Style"/>
          <w:lang/>
        </w:rPr>
        <w:t>Ch</w:t>
      </w:r>
      <w:proofErr w:type="spellEnd"/>
      <w:r w:rsidRPr="002C5CB4">
        <w:rPr>
          <w:rStyle w:val="Emphasis"/>
          <w:rFonts w:ascii="Bookman Old Style" w:hAnsi="Bookman Old Style"/>
          <w:lang/>
        </w:rPr>
        <w:t xml:space="preserve"> 433; [1991] 1 All ER 926 (</w:t>
      </w:r>
      <w:proofErr w:type="spellStart"/>
      <w:r w:rsidRPr="002C5CB4">
        <w:rPr>
          <w:rStyle w:val="Emphasis"/>
          <w:rFonts w:ascii="Bookman Old Style" w:hAnsi="Bookman Old Style"/>
          <w:lang/>
        </w:rPr>
        <w:t>Ch</w:t>
      </w:r>
      <w:proofErr w:type="spellEnd"/>
      <w:r w:rsidRPr="002C5CB4">
        <w:rPr>
          <w:rStyle w:val="Emphasis"/>
          <w:rFonts w:ascii="Bookman Old Style" w:hAnsi="Bookman Old Style"/>
          <w:lang/>
        </w:rPr>
        <w:t xml:space="preserve"> and CA) </w:t>
      </w:r>
      <w:r w:rsidRPr="002C5CB4">
        <w:rPr>
          <w:rFonts w:ascii="Bookman Old Style" w:hAnsi="Bookman Old Style"/>
          <w:lang/>
        </w:rPr>
        <w:t xml:space="preserve">as authority for the statement that the exception is generally expressed as permitting disregard of the company when the corporate structure is a “mere façade concealing the true facts”. The court also declined to “attempt a comprehensive definition of the principles which should guide a court in determining the presence of </w:t>
      </w:r>
      <w:r w:rsidRPr="002C5CB4">
        <w:rPr>
          <w:rStyle w:val="Emphasis"/>
          <w:rFonts w:ascii="Bookman Old Style" w:hAnsi="Bookman Old Style"/>
          <w:lang/>
        </w:rPr>
        <w:t>“a mere façade”.</w:t>
      </w:r>
      <w:r w:rsidRPr="002C5CB4">
        <w:rPr>
          <w:rFonts w:ascii="Bookman Old Style" w:hAnsi="Bookman Old Style"/>
          <w:lang/>
        </w:rPr>
        <w:t xml:space="preserve"> (</w:t>
      </w:r>
      <w:proofErr w:type="gramStart"/>
      <w:r w:rsidRPr="002C5CB4">
        <w:rPr>
          <w:rFonts w:ascii="Bookman Old Style" w:hAnsi="Bookman Old Style"/>
          <w:lang/>
        </w:rPr>
        <w:t>at</w:t>
      </w:r>
      <w:proofErr w:type="gramEnd"/>
      <w:r w:rsidRPr="002C5CB4">
        <w:rPr>
          <w:rFonts w:ascii="Bookman Old Style" w:hAnsi="Bookman Old Style"/>
          <w:lang/>
        </w:rPr>
        <w:t xml:space="preserve"> 543D)</w:t>
      </w:r>
    </w:p>
    <w:p w:rsidR="002C5CB4" w:rsidRPr="002C5CB4" w:rsidRDefault="002C5CB4" w:rsidP="002C5CB4">
      <w:pPr>
        <w:pStyle w:val="NormalWeb"/>
        <w:spacing w:line="360" w:lineRule="auto"/>
        <w:ind w:left="720"/>
        <w:jc w:val="both"/>
        <w:rPr>
          <w:rFonts w:ascii="Bookman Old Style" w:hAnsi="Bookman Old Style"/>
          <w:lang/>
        </w:rPr>
      </w:pPr>
      <w:r w:rsidRPr="002C5CB4">
        <w:rPr>
          <w:rFonts w:ascii="Bookman Old Style" w:hAnsi="Bookman Old Style"/>
          <w:lang/>
        </w:rPr>
        <w:t xml:space="preserve">[10] One finds similar sentiments in </w:t>
      </w:r>
      <w:r w:rsidRPr="002C5CB4">
        <w:rPr>
          <w:rStyle w:val="Emphasis"/>
          <w:rFonts w:ascii="Bookman Old Style" w:hAnsi="Bookman Old Style"/>
          <w:lang/>
        </w:rPr>
        <w:t xml:space="preserve">Cape Pacific Ltd v. </w:t>
      </w:r>
      <w:proofErr w:type="spellStart"/>
      <w:r w:rsidRPr="002C5CB4">
        <w:rPr>
          <w:rStyle w:val="Emphasis"/>
          <w:rFonts w:ascii="Bookman Old Style" w:hAnsi="Bookman Old Style"/>
          <w:lang/>
        </w:rPr>
        <w:t>Lubner</w:t>
      </w:r>
      <w:proofErr w:type="spellEnd"/>
      <w:r w:rsidRPr="002C5CB4">
        <w:rPr>
          <w:rStyle w:val="Emphasis"/>
          <w:rFonts w:ascii="Bookman Old Style" w:hAnsi="Bookman Old Style"/>
          <w:lang/>
        </w:rPr>
        <w:t xml:space="preserve"> Controlling Investments (Pty) Ltd, 1995 (4) SA 790 (AD) </w:t>
      </w:r>
      <w:r w:rsidRPr="002C5CB4">
        <w:rPr>
          <w:rFonts w:ascii="Bookman Old Style" w:hAnsi="Bookman Old Style"/>
          <w:lang/>
        </w:rPr>
        <w:t xml:space="preserve">at 802 H where </w:t>
      </w:r>
      <w:proofErr w:type="spellStart"/>
      <w:r w:rsidRPr="002C5CB4">
        <w:rPr>
          <w:rFonts w:ascii="Bookman Old Style" w:hAnsi="Bookman Old Style"/>
          <w:lang/>
        </w:rPr>
        <w:t>Smalberger</w:t>
      </w:r>
      <w:proofErr w:type="spellEnd"/>
      <w:r w:rsidRPr="002C5CB4">
        <w:rPr>
          <w:rFonts w:ascii="Bookman Old Style" w:hAnsi="Bookman Old Style"/>
          <w:lang/>
        </w:rPr>
        <w:t xml:space="preserve"> JA said the following:</w:t>
      </w:r>
    </w:p>
    <w:p w:rsidR="002C5CB4" w:rsidRPr="002C5CB4" w:rsidRDefault="002C5CB4" w:rsidP="002C5CB4">
      <w:pPr>
        <w:pStyle w:val="NormalWeb"/>
        <w:spacing w:line="360" w:lineRule="auto"/>
        <w:ind w:left="1440"/>
        <w:jc w:val="both"/>
        <w:rPr>
          <w:rFonts w:ascii="Bookman Old Style" w:hAnsi="Bookman Old Style"/>
          <w:lang/>
        </w:rPr>
      </w:pPr>
      <w:r w:rsidRPr="002C5CB4">
        <w:rPr>
          <w:rStyle w:val="Emphasis"/>
          <w:rFonts w:ascii="Bookman Old Style" w:hAnsi="Bookman Old Style"/>
          <w:lang/>
        </w:rPr>
        <w:t>“The law is far from settled with regard to the circumstances in which it would be permissible to pierce the corporate veil. Each case involves a process of enquiring into the facts which, once determined, may be of decisive importance”.</w:t>
      </w:r>
    </w:p>
    <w:p w:rsidR="002C5CB4" w:rsidRPr="002C5CB4" w:rsidRDefault="002C5CB4" w:rsidP="002C5CB4">
      <w:pPr>
        <w:pStyle w:val="NormalWeb"/>
        <w:spacing w:line="360" w:lineRule="auto"/>
        <w:ind w:left="720"/>
        <w:jc w:val="both"/>
        <w:rPr>
          <w:rFonts w:ascii="Bookman Old Style" w:hAnsi="Bookman Old Style"/>
          <w:lang/>
        </w:rPr>
      </w:pPr>
      <w:r w:rsidRPr="002C5CB4">
        <w:rPr>
          <w:rFonts w:ascii="Bookman Old Style" w:hAnsi="Bookman Old Style"/>
          <w:lang/>
        </w:rPr>
        <w:lastRenderedPageBreak/>
        <w:t xml:space="preserve">At page 803 of the judgment, there is reference to what Corbett, CJ said a year before in </w:t>
      </w:r>
      <w:r w:rsidRPr="002C5CB4">
        <w:rPr>
          <w:rStyle w:val="Emphasis"/>
          <w:rFonts w:ascii="Bookman Old Style" w:hAnsi="Bookman Old Style"/>
          <w:lang/>
        </w:rPr>
        <w:t xml:space="preserve">The Shipping Corporation of India v. </w:t>
      </w:r>
      <w:proofErr w:type="spellStart"/>
      <w:r w:rsidRPr="002C5CB4">
        <w:rPr>
          <w:rStyle w:val="Emphasis"/>
          <w:rFonts w:ascii="Bookman Old Style" w:hAnsi="Bookman Old Style"/>
          <w:lang/>
        </w:rPr>
        <w:t>Evdomon</w:t>
      </w:r>
      <w:proofErr w:type="spellEnd"/>
      <w:r w:rsidRPr="002C5CB4">
        <w:rPr>
          <w:rStyle w:val="Emphasis"/>
          <w:rFonts w:ascii="Bookman Old Style" w:hAnsi="Bookman Old Style"/>
          <w:lang/>
        </w:rPr>
        <w:t xml:space="preserve"> Corporation &amp; Another 1994(1) SA 550 (A)</w:t>
      </w:r>
      <w:r w:rsidRPr="002C5CB4">
        <w:rPr>
          <w:rFonts w:ascii="Bookman Old Style" w:hAnsi="Bookman Old Style"/>
          <w:lang/>
        </w:rPr>
        <w:t xml:space="preserve"> at 566 C-F:-</w:t>
      </w:r>
    </w:p>
    <w:p w:rsidR="002C5CB4" w:rsidRPr="002C5CB4" w:rsidRDefault="002C5CB4" w:rsidP="002C5CB4">
      <w:pPr>
        <w:pStyle w:val="NormalWeb"/>
        <w:spacing w:line="360" w:lineRule="auto"/>
        <w:ind w:left="1440"/>
        <w:jc w:val="both"/>
        <w:rPr>
          <w:rFonts w:ascii="Bookman Old Style" w:hAnsi="Bookman Old Style"/>
          <w:lang/>
        </w:rPr>
      </w:pPr>
      <w:r w:rsidRPr="002C5CB4">
        <w:rPr>
          <w:rStyle w:val="Emphasis"/>
          <w:rFonts w:ascii="Bookman Old Style" w:hAnsi="Bookman Old Style"/>
          <w:lang/>
        </w:rPr>
        <w:t>“I do not find it necessary to consider, or attempt to define, the circumstances under which the Court will pierce the corporate veil. Suffice it to say that they would generally have to include an element of fraud or other improper conduct in the establishment or use of the company or the conduct of its affairs”.</w:t>
      </w:r>
    </w:p>
    <w:p w:rsidR="002C5CB4" w:rsidRPr="002C5CB4" w:rsidRDefault="002C5CB4" w:rsidP="002C5CB4">
      <w:pPr>
        <w:pStyle w:val="NormalWeb"/>
        <w:spacing w:line="360" w:lineRule="auto"/>
        <w:ind w:left="720"/>
        <w:jc w:val="both"/>
        <w:rPr>
          <w:rFonts w:ascii="Bookman Old Style" w:hAnsi="Bookman Old Style"/>
          <w:lang/>
        </w:rPr>
      </w:pPr>
      <w:r w:rsidRPr="002C5CB4">
        <w:rPr>
          <w:rFonts w:ascii="Bookman Old Style" w:hAnsi="Bookman Old Style"/>
          <w:lang/>
        </w:rPr>
        <w:t>[11] The first appellant’s conduct in this matter is dealt with in the supplementary answering affidavit of M.P. Dlamini, Secretary to the Board of the first respondent. He sets out in detail how the first appellant had –</w:t>
      </w:r>
    </w:p>
    <w:p w:rsidR="002C5CB4" w:rsidRPr="002C5CB4" w:rsidRDefault="002C5CB4" w:rsidP="002C5CB4">
      <w:pPr>
        <w:pStyle w:val="NormalWeb"/>
        <w:spacing w:line="360" w:lineRule="auto"/>
        <w:ind w:left="1440"/>
        <w:jc w:val="both"/>
        <w:rPr>
          <w:rFonts w:ascii="Bookman Old Style" w:hAnsi="Bookman Old Style"/>
          <w:lang/>
        </w:rPr>
      </w:pPr>
      <w:r w:rsidRPr="002C5CB4">
        <w:rPr>
          <w:rStyle w:val="Emphasis"/>
          <w:rFonts w:ascii="Bookman Old Style" w:hAnsi="Bookman Old Style"/>
          <w:lang/>
        </w:rPr>
        <w:t>“</w:t>
      </w:r>
      <w:proofErr w:type="gramStart"/>
      <w:r w:rsidRPr="002C5CB4">
        <w:rPr>
          <w:rStyle w:val="Emphasis"/>
          <w:rFonts w:ascii="Bookman Old Style" w:hAnsi="Bookman Old Style"/>
          <w:lang/>
        </w:rPr>
        <w:t>embarked</w:t>
      </w:r>
      <w:proofErr w:type="gramEnd"/>
      <w:r w:rsidRPr="002C5CB4">
        <w:rPr>
          <w:rStyle w:val="Emphasis"/>
          <w:rFonts w:ascii="Bookman Old Style" w:hAnsi="Bookman Old Style"/>
          <w:lang/>
        </w:rPr>
        <w:t xml:space="preserve"> upon a course of conduct which has led to unsuspecting members of the public investing millions of Emalangeni into what has now transpired to be a massive and illegal pyramid scheme. Investigations so far have disclosed that as much as E10</w:t>
      </w:r>
      <w:proofErr w:type="gramStart"/>
      <w:r w:rsidRPr="002C5CB4">
        <w:rPr>
          <w:rStyle w:val="Emphasis"/>
          <w:rFonts w:ascii="Bookman Old Style" w:hAnsi="Bookman Old Style"/>
          <w:lang/>
        </w:rPr>
        <w:t>,000.00</w:t>
      </w:r>
      <w:proofErr w:type="gramEnd"/>
      <w:r w:rsidRPr="002C5CB4">
        <w:rPr>
          <w:rStyle w:val="Emphasis"/>
          <w:rFonts w:ascii="Bookman Old Style" w:hAnsi="Bookman Old Style"/>
          <w:lang/>
        </w:rPr>
        <w:t xml:space="preserve"> was paid into the various Bank Accounts opened by him as also the accounts of the 2</w:t>
      </w:r>
      <w:r w:rsidRPr="002C5CB4">
        <w:rPr>
          <w:rStyle w:val="Emphasis"/>
          <w:rFonts w:ascii="Bookman Old Style" w:hAnsi="Bookman Old Style"/>
          <w:vertAlign w:val="superscript"/>
          <w:lang/>
        </w:rPr>
        <w:t>nd</w:t>
      </w:r>
      <w:r w:rsidRPr="002C5CB4">
        <w:rPr>
          <w:rStyle w:val="Emphasis"/>
          <w:rFonts w:ascii="Bookman Old Style" w:hAnsi="Bookman Old Style"/>
          <w:lang/>
        </w:rPr>
        <w:t>and 3</w:t>
      </w:r>
      <w:r w:rsidRPr="002C5CB4">
        <w:rPr>
          <w:rStyle w:val="Emphasis"/>
          <w:rFonts w:ascii="Bookman Old Style" w:hAnsi="Bookman Old Style"/>
          <w:vertAlign w:val="superscript"/>
          <w:lang/>
        </w:rPr>
        <w:t>rd</w:t>
      </w:r>
      <w:r w:rsidRPr="002C5CB4">
        <w:rPr>
          <w:rStyle w:val="Emphasis"/>
          <w:rFonts w:ascii="Bookman Old Style" w:hAnsi="Bookman Old Style"/>
          <w:lang/>
        </w:rPr>
        <w:t>applicants”.</w:t>
      </w:r>
    </w:p>
    <w:p w:rsidR="002C5CB4" w:rsidRPr="002C5CB4" w:rsidRDefault="002C5CB4" w:rsidP="002C5CB4">
      <w:pPr>
        <w:pStyle w:val="NormalWeb"/>
        <w:spacing w:line="360" w:lineRule="auto"/>
        <w:ind w:left="720"/>
        <w:jc w:val="both"/>
        <w:rPr>
          <w:rFonts w:ascii="Bookman Old Style" w:hAnsi="Bookman Old Style"/>
          <w:lang/>
        </w:rPr>
      </w:pPr>
      <w:r w:rsidRPr="002C5CB4">
        <w:rPr>
          <w:rFonts w:ascii="Bookman Old Style" w:hAnsi="Bookman Old Style"/>
          <w:lang/>
        </w:rPr>
        <w:t>He added that copies of relevant Bank Statements had been obtained which revealed the indiscriminate transfer of funds from the accounts of the various entities to each other. No attempt was made to separate the funds of depositors from the funds of the first three appellants in their bank accounts. Details of transfers of depositors’ funds from one of the accounts controlled by the first appellant to another are set out in this affidavit. In all, the appellants have seven bank accounts with Nedbank.</w:t>
      </w:r>
    </w:p>
    <w:p w:rsidR="002C5CB4" w:rsidRPr="002C5CB4" w:rsidRDefault="002C5CB4" w:rsidP="002C5CB4">
      <w:pPr>
        <w:pStyle w:val="NormalWeb"/>
        <w:spacing w:line="360" w:lineRule="auto"/>
        <w:ind w:left="720"/>
        <w:jc w:val="both"/>
        <w:rPr>
          <w:rFonts w:ascii="Bookman Old Style" w:hAnsi="Bookman Old Style"/>
          <w:lang/>
        </w:rPr>
      </w:pPr>
      <w:r w:rsidRPr="002C5CB4">
        <w:rPr>
          <w:rFonts w:ascii="Bookman Old Style" w:hAnsi="Bookman Old Style"/>
          <w:lang/>
        </w:rPr>
        <w:t xml:space="preserve">[12] The reply to these allegations was that the first appellant simply denied that he was conducting an illegal pyramid schemes, and that as much as E10 million was paid into the “bank accounts opened by </w:t>
      </w:r>
      <w:r w:rsidRPr="002C5CB4">
        <w:rPr>
          <w:rFonts w:ascii="Bookman Old Style" w:hAnsi="Bookman Old Style"/>
          <w:lang/>
        </w:rPr>
        <w:lastRenderedPageBreak/>
        <w:t>me”. All that he says about the movement of cash between these accounts is that the first respondent “has been highly selective in the documentation of bank accounts that they have obtained alternatively that it has not been open with the Court in that it has not disclosed documentation received from the Bank which is in its possession”.</w:t>
      </w:r>
    </w:p>
    <w:p w:rsidR="002C5CB4" w:rsidRPr="002C5CB4" w:rsidRDefault="002C5CB4" w:rsidP="002C5CB4">
      <w:pPr>
        <w:pStyle w:val="NormalWeb"/>
        <w:spacing w:line="360" w:lineRule="auto"/>
        <w:ind w:left="720"/>
        <w:jc w:val="both"/>
        <w:rPr>
          <w:rFonts w:ascii="Bookman Old Style" w:hAnsi="Bookman Old Style"/>
          <w:lang/>
        </w:rPr>
      </w:pPr>
      <w:r w:rsidRPr="002C5CB4">
        <w:rPr>
          <w:rFonts w:ascii="Bookman Old Style" w:hAnsi="Bookman Old Style"/>
          <w:lang/>
        </w:rPr>
        <w:t xml:space="preserve">[13] This last allegation is not correct since it appears from paragraph 30.9 of the answering affidavit of Mr. Dlamini in the review application that the first respondent had </w:t>
      </w:r>
      <w:proofErr w:type="spellStart"/>
      <w:r w:rsidRPr="002C5CB4">
        <w:rPr>
          <w:rFonts w:ascii="Bookman Old Style" w:hAnsi="Bookman Old Style"/>
          <w:lang/>
        </w:rPr>
        <w:t>analysed</w:t>
      </w:r>
      <w:proofErr w:type="spellEnd"/>
      <w:r w:rsidRPr="002C5CB4">
        <w:rPr>
          <w:rFonts w:ascii="Bookman Old Style" w:hAnsi="Bookman Old Style"/>
          <w:lang/>
        </w:rPr>
        <w:t xml:space="preserve"> the accounts and prepared a brief analysis of these accounts and appendix.</w:t>
      </w:r>
    </w:p>
    <w:p w:rsidR="002C5CB4" w:rsidRPr="002C5CB4" w:rsidRDefault="002C5CB4" w:rsidP="002C5CB4">
      <w:pPr>
        <w:pStyle w:val="NormalWeb"/>
        <w:spacing w:line="360" w:lineRule="auto"/>
        <w:ind w:left="720"/>
        <w:jc w:val="both"/>
        <w:rPr>
          <w:rFonts w:ascii="Bookman Old Style" w:hAnsi="Bookman Old Style"/>
          <w:lang/>
        </w:rPr>
      </w:pPr>
      <w:r w:rsidRPr="002C5CB4">
        <w:rPr>
          <w:rFonts w:ascii="Bookman Old Style" w:hAnsi="Bookman Old Style"/>
          <w:lang/>
        </w:rPr>
        <w:t xml:space="preserve">This analysis of accounts was attached to the Supporting Affidavit of Wellington Motsa and marked “MPD 11A”. It did not form part of the appeal record but Mr. </w:t>
      </w:r>
      <w:proofErr w:type="spellStart"/>
      <w:r w:rsidRPr="002C5CB4">
        <w:rPr>
          <w:rFonts w:ascii="Bookman Old Style" w:hAnsi="Bookman Old Style"/>
          <w:lang/>
        </w:rPr>
        <w:t>Mabuza</w:t>
      </w:r>
      <w:proofErr w:type="spellEnd"/>
      <w:r w:rsidRPr="002C5CB4">
        <w:rPr>
          <w:rFonts w:ascii="Bookman Old Style" w:hAnsi="Bookman Old Style"/>
          <w:lang/>
        </w:rPr>
        <w:t xml:space="preserve"> informed us that he had delivered the files containing the affidavit and accounts to the High Court. In any event, the allegation by the first appellant that the Bank had not disclosed relevant accounts is without any foundation. Mr. </w:t>
      </w:r>
      <w:proofErr w:type="spellStart"/>
      <w:r w:rsidRPr="002C5CB4">
        <w:rPr>
          <w:rFonts w:ascii="Bookman Old Style" w:hAnsi="Bookman Old Style"/>
          <w:lang/>
        </w:rPr>
        <w:t>Joubert</w:t>
      </w:r>
      <w:proofErr w:type="spellEnd"/>
      <w:r w:rsidRPr="002C5CB4">
        <w:rPr>
          <w:rFonts w:ascii="Bookman Old Style" w:hAnsi="Bookman Old Style"/>
          <w:lang/>
        </w:rPr>
        <w:t xml:space="preserve"> displayed in Court the thick </w:t>
      </w:r>
      <w:proofErr w:type="spellStart"/>
      <w:r w:rsidRPr="002C5CB4">
        <w:rPr>
          <w:rFonts w:ascii="Bookman Old Style" w:hAnsi="Bookman Old Style"/>
          <w:lang/>
        </w:rPr>
        <w:t>ringbinder</w:t>
      </w:r>
      <w:proofErr w:type="spellEnd"/>
      <w:r w:rsidRPr="002C5CB4">
        <w:rPr>
          <w:rFonts w:ascii="Bookman Old Style" w:hAnsi="Bookman Old Style"/>
          <w:lang/>
        </w:rPr>
        <w:t xml:space="preserve"> file containing the accounts which should have formed part of the appeal record, adding that the earlier affidavit of Wellington Motsa (“MPD 8”) was a summary of “MPD 11A”). There was no response on this aspect of the matter from Mr. </w:t>
      </w:r>
      <w:proofErr w:type="spellStart"/>
      <w:r w:rsidRPr="002C5CB4">
        <w:rPr>
          <w:rFonts w:ascii="Bookman Old Style" w:hAnsi="Bookman Old Style"/>
          <w:lang/>
        </w:rPr>
        <w:t>Mabuza</w:t>
      </w:r>
      <w:proofErr w:type="spellEnd"/>
      <w:r w:rsidRPr="002C5CB4">
        <w:rPr>
          <w:rFonts w:ascii="Bookman Old Style" w:hAnsi="Bookman Old Style"/>
          <w:lang/>
        </w:rPr>
        <w:t>.</w:t>
      </w:r>
    </w:p>
    <w:p w:rsidR="002C5CB4" w:rsidRPr="002C5CB4" w:rsidRDefault="002C5CB4" w:rsidP="002C5CB4">
      <w:pPr>
        <w:pStyle w:val="NormalWeb"/>
        <w:spacing w:line="360" w:lineRule="auto"/>
        <w:ind w:left="720"/>
        <w:jc w:val="both"/>
        <w:rPr>
          <w:rFonts w:ascii="Bookman Old Style" w:hAnsi="Bookman Old Style"/>
          <w:lang/>
        </w:rPr>
      </w:pPr>
      <w:r w:rsidRPr="002C5CB4">
        <w:rPr>
          <w:rFonts w:ascii="Bookman Old Style" w:hAnsi="Bookman Old Style"/>
          <w:lang/>
        </w:rPr>
        <w:t xml:space="preserve">[14] It soon became apparent that Mr. </w:t>
      </w:r>
      <w:proofErr w:type="spellStart"/>
      <w:r w:rsidRPr="002C5CB4">
        <w:rPr>
          <w:rFonts w:ascii="Bookman Old Style" w:hAnsi="Bookman Old Style"/>
          <w:lang/>
        </w:rPr>
        <w:t>Mabuza</w:t>
      </w:r>
      <w:proofErr w:type="spellEnd"/>
      <w:r w:rsidRPr="002C5CB4">
        <w:rPr>
          <w:rFonts w:ascii="Bookman Old Style" w:hAnsi="Bookman Old Style"/>
          <w:lang/>
        </w:rPr>
        <w:t xml:space="preserve"> considered that this appeal concerned only the upholding of the points </w:t>
      </w:r>
      <w:r w:rsidRPr="002C5CB4">
        <w:rPr>
          <w:rStyle w:val="Emphasis"/>
          <w:rFonts w:ascii="Bookman Old Style" w:hAnsi="Bookman Old Style"/>
          <w:lang/>
        </w:rPr>
        <w:t>in limine</w:t>
      </w:r>
      <w:r w:rsidRPr="002C5CB4">
        <w:rPr>
          <w:rFonts w:ascii="Bookman Old Style" w:hAnsi="Bookman Old Style"/>
          <w:lang/>
        </w:rPr>
        <w:t xml:space="preserve"> in the Court </w:t>
      </w:r>
      <w:r w:rsidRPr="002C5CB4">
        <w:rPr>
          <w:rStyle w:val="Emphasis"/>
          <w:rFonts w:ascii="Bookman Old Style" w:hAnsi="Bookman Old Style"/>
          <w:lang/>
        </w:rPr>
        <w:t>a quo</w:t>
      </w:r>
      <w:r w:rsidRPr="002C5CB4">
        <w:rPr>
          <w:rFonts w:ascii="Bookman Old Style" w:hAnsi="Bookman Old Style"/>
          <w:lang/>
        </w:rPr>
        <w:t xml:space="preserve">. He went so far as to say that he was not briefed to deal with the merits of the matter and submitted that the matter should be remitted to the High Court so that the merits could be considered there. He added that in so far as </w:t>
      </w:r>
      <w:proofErr w:type="spellStart"/>
      <w:r w:rsidRPr="002C5CB4">
        <w:rPr>
          <w:rFonts w:ascii="Bookman Old Style" w:hAnsi="Bookman Old Style"/>
          <w:lang/>
        </w:rPr>
        <w:t>Maphalala</w:t>
      </w:r>
      <w:proofErr w:type="spellEnd"/>
      <w:r w:rsidRPr="002C5CB4">
        <w:rPr>
          <w:rFonts w:ascii="Bookman Old Style" w:hAnsi="Bookman Old Style"/>
          <w:lang/>
        </w:rPr>
        <w:t xml:space="preserve"> J had reached certain conclusions on the issue of piercing of the veil </w:t>
      </w:r>
      <w:r w:rsidRPr="002C5CB4">
        <w:rPr>
          <w:rStyle w:val="Emphasis"/>
          <w:rFonts w:ascii="Bookman Old Style" w:hAnsi="Bookman Old Style"/>
          <w:lang/>
        </w:rPr>
        <w:t>obiter,</w:t>
      </w:r>
      <w:r w:rsidRPr="002C5CB4">
        <w:rPr>
          <w:rFonts w:ascii="Bookman Old Style" w:hAnsi="Bookman Old Style"/>
          <w:lang/>
        </w:rPr>
        <w:t xml:space="preserve"> this Court should have no regard thereto.</w:t>
      </w:r>
    </w:p>
    <w:p w:rsidR="002C5CB4" w:rsidRPr="002C5CB4" w:rsidRDefault="002C5CB4" w:rsidP="002C5CB4">
      <w:pPr>
        <w:pStyle w:val="NormalWeb"/>
        <w:spacing w:line="360" w:lineRule="auto"/>
        <w:ind w:left="720"/>
        <w:jc w:val="both"/>
        <w:rPr>
          <w:rFonts w:ascii="Bookman Old Style" w:hAnsi="Bookman Old Style"/>
          <w:lang/>
        </w:rPr>
      </w:pPr>
      <w:r w:rsidRPr="002C5CB4">
        <w:rPr>
          <w:rFonts w:ascii="Bookman Old Style" w:hAnsi="Bookman Old Style"/>
          <w:lang/>
        </w:rPr>
        <w:lastRenderedPageBreak/>
        <w:t xml:space="preserve">[15] Mr. </w:t>
      </w:r>
      <w:proofErr w:type="spellStart"/>
      <w:r w:rsidRPr="002C5CB4">
        <w:rPr>
          <w:rFonts w:ascii="Bookman Old Style" w:hAnsi="Bookman Old Style"/>
          <w:lang/>
        </w:rPr>
        <w:t>Joubert</w:t>
      </w:r>
      <w:proofErr w:type="spellEnd"/>
      <w:r w:rsidRPr="002C5CB4">
        <w:rPr>
          <w:rFonts w:ascii="Bookman Old Style" w:hAnsi="Bookman Old Style"/>
          <w:lang/>
        </w:rPr>
        <w:t xml:space="preserve"> countered this submission by contending that </w:t>
      </w:r>
      <w:proofErr w:type="spellStart"/>
      <w:r w:rsidRPr="002C5CB4">
        <w:rPr>
          <w:rFonts w:ascii="Bookman Old Style" w:hAnsi="Bookman Old Style"/>
          <w:lang/>
        </w:rPr>
        <w:t>Maphalala</w:t>
      </w:r>
      <w:proofErr w:type="spellEnd"/>
      <w:r w:rsidRPr="002C5CB4">
        <w:rPr>
          <w:rFonts w:ascii="Bookman Old Style" w:hAnsi="Bookman Old Style"/>
          <w:lang/>
        </w:rPr>
        <w:t xml:space="preserve"> J had in fact held on the facts before him that the corporate veil should be pierced.</w:t>
      </w:r>
    </w:p>
    <w:p w:rsidR="002C5CB4" w:rsidRPr="002C5CB4" w:rsidRDefault="002C5CB4" w:rsidP="002C5CB4">
      <w:pPr>
        <w:pStyle w:val="NormalWeb"/>
        <w:spacing w:line="360" w:lineRule="auto"/>
        <w:ind w:left="720"/>
        <w:jc w:val="both"/>
        <w:rPr>
          <w:rFonts w:ascii="Bookman Old Style" w:hAnsi="Bookman Old Style"/>
          <w:lang/>
        </w:rPr>
      </w:pPr>
      <w:r w:rsidRPr="002C5CB4">
        <w:rPr>
          <w:rFonts w:ascii="Bookman Old Style" w:hAnsi="Bookman Old Style"/>
          <w:lang/>
        </w:rPr>
        <w:t xml:space="preserve">[16] In paragraph [22] of the judgment (Record, 422) </w:t>
      </w:r>
      <w:proofErr w:type="spellStart"/>
      <w:r w:rsidRPr="002C5CB4">
        <w:rPr>
          <w:rFonts w:ascii="Bookman Old Style" w:hAnsi="Bookman Old Style"/>
          <w:lang/>
        </w:rPr>
        <w:t>Maphalala</w:t>
      </w:r>
      <w:proofErr w:type="spellEnd"/>
      <w:r w:rsidRPr="002C5CB4">
        <w:rPr>
          <w:rFonts w:ascii="Bookman Old Style" w:hAnsi="Bookman Old Style"/>
          <w:lang/>
        </w:rPr>
        <w:t xml:space="preserve"> J stated that –</w:t>
      </w:r>
    </w:p>
    <w:p w:rsidR="002C5CB4" w:rsidRPr="002C5CB4" w:rsidRDefault="002C5CB4" w:rsidP="002C5CB4">
      <w:pPr>
        <w:pStyle w:val="NormalWeb"/>
        <w:spacing w:line="360" w:lineRule="auto"/>
        <w:ind w:left="1440"/>
        <w:jc w:val="both"/>
        <w:rPr>
          <w:rFonts w:ascii="Bookman Old Style" w:hAnsi="Bookman Old Style"/>
          <w:lang/>
        </w:rPr>
      </w:pPr>
      <w:r w:rsidRPr="002C5CB4">
        <w:rPr>
          <w:rStyle w:val="Emphasis"/>
          <w:rFonts w:ascii="Bookman Old Style" w:hAnsi="Bookman Old Style"/>
          <w:lang/>
        </w:rPr>
        <w:t xml:space="preserve">“In view of the fact that I have ruled in favour of the Respondents on the points </w:t>
      </w:r>
      <w:r w:rsidRPr="002C5CB4">
        <w:rPr>
          <w:rFonts w:ascii="Bookman Old Style" w:hAnsi="Bookman Old Style"/>
          <w:lang/>
        </w:rPr>
        <w:t xml:space="preserve">in </w:t>
      </w:r>
      <w:proofErr w:type="spellStart"/>
      <w:r w:rsidRPr="002C5CB4">
        <w:rPr>
          <w:rFonts w:ascii="Bookman Old Style" w:hAnsi="Bookman Old Style"/>
          <w:lang/>
        </w:rPr>
        <w:t>limine</w:t>
      </w:r>
      <w:r w:rsidRPr="002C5CB4">
        <w:rPr>
          <w:rStyle w:val="Emphasis"/>
          <w:rFonts w:ascii="Bookman Old Style" w:hAnsi="Bookman Old Style"/>
          <w:lang/>
        </w:rPr>
        <w:t>I</w:t>
      </w:r>
      <w:proofErr w:type="spellEnd"/>
      <w:r w:rsidRPr="002C5CB4">
        <w:rPr>
          <w:rStyle w:val="Emphasis"/>
          <w:rFonts w:ascii="Bookman Old Style" w:hAnsi="Bookman Old Style"/>
          <w:lang/>
        </w:rPr>
        <w:t xml:space="preserve"> ought to dismiss the application but in view of the very important question brought about by this application on the worldwide phenomenon of pyramid schemes I am duty bound to also consider the merits of the case. I must stress though that my judgment in this regard should be regarded as </w:t>
      </w:r>
      <w:r w:rsidRPr="002C5CB4">
        <w:rPr>
          <w:rFonts w:ascii="Bookman Old Style" w:hAnsi="Bookman Old Style"/>
          <w:lang/>
        </w:rPr>
        <w:t xml:space="preserve">obiter </w:t>
      </w:r>
      <w:proofErr w:type="spellStart"/>
      <w:r w:rsidRPr="002C5CB4">
        <w:rPr>
          <w:rFonts w:ascii="Bookman Old Style" w:hAnsi="Bookman Old Style"/>
          <w:lang/>
        </w:rPr>
        <w:t>dictum</w:t>
      </w:r>
      <w:r w:rsidRPr="002C5CB4">
        <w:rPr>
          <w:rStyle w:val="Emphasis"/>
          <w:rFonts w:ascii="Bookman Old Style" w:hAnsi="Bookman Old Style"/>
          <w:lang/>
        </w:rPr>
        <w:t>as</w:t>
      </w:r>
      <w:proofErr w:type="spellEnd"/>
      <w:r w:rsidRPr="002C5CB4">
        <w:rPr>
          <w:rStyle w:val="Emphasis"/>
          <w:rFonts w:ascii="Bookman Old Style" w:hAnsi="Bookman Old Style"/>
          <w:lang/>
        </w:rPr>
        <w:t xml:space="preserve"> I have already dismissed the application on the points </w:t>
      </w:r>
      <w:r w:rsidRPr="002C5CB4">
        <w:rPr>
          <w:rFonts w:ascii="Bookman Old Style" w:hAnsi="Bookman Old Style"/>
          <w:lang/>
        </w:rPr>
        <w:t xml:space="preserve">in </w:t>
      </w:r>
      <w:proofErr w:type="spellStart"/>
      <w:r w:rsidRPr="002C5CB4">
        <w:rPr>
          <w:rFonts w:ascii="Bookman Old Style" w:hAnsi="Bookman Old Style"/>
          <w:lang/>
        </w:rPr>
        <w:t>limine</w:t>
      </w:r>
      <w:r w:rsidRPr="002C5CB4">
        <w:rPr>
          <w:rStyle w:val="Emphasis"/>
          <w:rFonts w:ascii="Bookman Old Style" w:hAnsi="Bookman Old Style"/>
          <w:lang/>
        </w:rPr>
        <w:t>raised</w:t>
      </w:r>
      <w:proofErr w:type="spellEnd"/>
      <w:r w:rsidRPr="002C5CB4">
        <w:rPr>
          <w:rStyle w:val="Emphasis"/>
          <w:rFonts w:ascii="Bookman Old Style" w:hAnsi="Bookman Old Style"/>
          <w:lang/>
        </w:rPr>
        <w:t xml:space="preserve"> by the Respondents”.</w:t>
      </w:r>
    </w:p>
    <w:p w:rsidR="002C5CB4" w:rsidRPr="002C5CB4" w:rsidRDefault="002C5CB4" w:rsidP="002C5CB4">
      <w:pPr>
        <w:pStyle w:val="NormalWeb"/>
        <w:spacing w:line="360" w:lineRule="auto"/>
        <w:ind w:left="720"/>
        <w:jc w:val="both"/>
        <w:rPr>
          <w:rFonts w:ascii="Bookman Old Style" w:hAnsi="Bookman Old Style"/>
          <w:lang/>
        </w:rPr>
      </w:pPr>
      <w:r w:rsidRPr="002C5CB4">
        <w:rPr>
          <w:rFonts w:ascii="Bookman Old Style" w:hAnsi="Bookman Old Style"/>
          <w:lang/>
        </w:rPr>
        <w:t xml:space="preserve">It is clear from this passage that the learned Judge </w:t>
      </w:r>
      <w:r w:rsidRPr="002C5CB4">
        <w:rPr>
          <w:rStyle w:val="Emphasis"/>
          <w:rFonts w:ascii="Bookman Old Style" w:hAnsi="Bookman Old Style"/>
          <w:lang/>
        </w:rPr>
        <w:t>a quo</w:t>
      </w:r>
      <w:r w:rsidRPr="002C5CB4">
        <w:rPr>
          <w:rFonts w:ascii="Bookman Old Style" w:hAnsi="Bookman Old Style"/>
          <w:lang/>
        </w:rPr>
        <w:t xml:space="preserve"> did consider the merits of the case before him.</w:t>
      </w:r>
    </w:p>
    <w:p w:rsidR="002C5CB4" w:rsidRPr="002C5CB4" w:rsidRDefault="002C5CB4" w:rsidP="002C5CB4">
      <w:pPr>
        <w:pStyle w:val="NormalWeb"/>
        <w:spacing w:line="360" w:lineRule="auto"/>
        <w:ind w:left="720"/>
        <w:jc w:val="both"/>
        <w:rPr>
          <w:rFonts w:ascii="Bookman Old Style" w:hAnsi="Bookman Old Style"/>
          <w:lang/>
        </w:rPr>
      </w:pPr>
      <w:r w:rsidRPr="002C5CB4">
        <w:rPr>
          <w:rFonts w:ascii="Bookman Old Style" w:hAnsi="Bookman Old Style"/>
          <w:lang/>
        </w:rPr>
        <w:t xml:space="preserve">[17] If the views of this Court were to accord with that of the Court </w:t>
      </w:r>
      <w:r w:rsidRPr="002C5CB4">
        <w:rPr>
          <w:rStyle w:val="Emphasis"/>
          <w:rFonts w:ascii="Bookman Old Style" w:hAnsi="Bookman Old Style"/>
          <w:lang/>
        </w:rPr>
        <w:t>a quo</w:t>
      </w:r>
      <w:r w:rsidRPr="002C5CB4">
        <w:rPr>
          <w:rFonts w:ascii="Bookman Old Style" w:hAnsi="Bookman Old Style"/>
          <w:lang/>
        </w:rPr>
        <w:t xml:space="preserve">, it would be absurd to adopt the position that this Court may not reach the same conclusion as the Court </w:t>
      </w:r>
      <w:r w:rsidRPr="002C5CB4">
        <w:rPr>
          <w:rStyle w:val="Emphasis"/>
          <w:rFonts w:ascii="Bookman Old Style" w:hAnsi="Bookman Old Style"/>
          <w:lang/>
        </w:rPr>
        <w:t>a quo</w:t>
      </w:r>
      <w:r w:rsidRPr="002C5CB4">
        <w:rPr>
          <w:rFonts w:ascii="Bookman Old Style" w:hAnsi="Bookman Old Style"/>
          <w:lang/>
        </w:rPr>
        <w:t xml:space="preserve"> because the learned Judge </w:t>
      </w:r>
      <w:r w:rsidRPr="002C5CB4">
        <w:rPr>
          <w:rStyle w:val="Emphasis"/>
          <w:rFonts w:ascii="Bookman Old Style" w:hAnsi="Bookman Old Style"/>
          <w:lang/>
        </w:rPr>
        <w:t>a quo</w:t>
      </w:r>
      <w:r w:rsidRPr="002C5CB4">
        <w:rPr>
          <w:rFonts w:ascii="Bookman Old Style" w:hAnsi="Bookman Old Style"/>
          <w:lang/>
        </w:rPr>
        <w:t xml:space="preserve"> had in effect shut the door to such an approach by recording that his remarks on the merits were </w:t>
      </w:r>
      <w:r w:rsidRPr="002C5CB4">
        <w:rPr>
          <w:rStyle w:val="Emphasis"/>
          <w:rFonts w:ascii="Bookman Old Style" w:hAnsi="Bookman Old Style"/>
          <w:lang/>
        </w:rPr>
        <w:t xml:space="preserve">obiter. </w:t>
      </w:r>
      <w:r w:rsidRPr="002C5CB4">
        <w:rPr>
          <w:rFonts w:ascii="Bookman Old Style" w:hAnsi="Bookman Old Style"/>
          <w:lang/>
        </w:rPr>
        <w:t xml:space="preserve">Section 33(3) of the Court of Appeal Act enjoins this Court to “make any order which ought to have been made and may make such further or other order as the case may require”. </w:t>
      </w:r>
      <w:r w:rsidRPr="002C5CB4">
        <w:rPr>
          <w:rStyle w:val="Emphasis"/>
          <w:rFonts w:ascii="Bookman Old Style" w:hAnsi="Bookman Old Style"/>
          <w:lang/>
        </w:rPr>
        <w:t>A fortiori</w:t>
      </w:r>
      <w:r w:rsidRPr="002C5CB4">
        <w:rPr>
          <w:rFonts w:ascii="Bookman Old Style" w:hAnsi="Bookman Old Style"/>
          <w:lang/>
        </w:rPr>
        <w:t xml:space="preserve"> should that be the position where the learned Judge </w:t>
      </w:r>
      <w:r w:rsidRPr="002C5CB4">
        <w:rPr>
          <w:rStyle w:val="Emphasis"/>
          <w:rFonts w:ascii="Bookman Old Style" w:hAnsi="Bookman Old Style"/>
          <w:lang/>
        </w:rPr>
        <w:t xml:space="preserve">a quo </w:t>
      </w:r>
      <w:r w:rsidRPr="002C5CB4">
        <w:rPr>
          <w:rFonts w:ascii="Bookman Old Style" w:hAnsi="Bookman Old Style"/>
          <w:lang/>
        </w:rPr>
        <w:t>states, as he did, that he would have decided the matter on the merits in favour of the respondents. A remittal and further appeal to this Court would result in the same conclusion being reached.</w:t>
      </w:r>
    </w:p>
    <w:p w:rsidR="002C5CB4" w:rsidRPr="002C5CB4" w:rsidRDefault="002C5CB4" w:rsidP="002C5CB4">
      <w:pPr>
        <w:pStyle w:val="NormalWeb"/>
        <w:spacing w:line="360" w:lineRule="auto"/>
        <w:ind w:left="720"/>
        <w:jc w:val="both"/>
        <w:rPr>
          <w:rFonts w:ascii="Bookman Old Style" w:hAnsi="Bookman Old Style"/>
          <w:lang/>
        </w:rPr>
      </w:pPr>
      <w:r w:rsidRPr="002C5CB4">
        <w:rPr>
          <w:rFonts w:ascii="Bookman Old Style" w:hAnsi="Bookman Old Style"/>
          <w:lang/>
        </w:rPr>
        <w:t xml:space="preserve">[18] The extent of the first appellant’s control of the second and third applicants is conveniently set out in paragraph 28 of the Answering </w:t>
      </w:r>
      <w:r w:rsidRPr="002C5CB4">
        <w:rPr>
          <w:rFonts w:ascii="Bookman Old Style" w:hAnsi="Bookman Old Style"/>
          <w:lang/>
        </w:rPr>
        <w:lastRenderedPageBreak/>
        <w:t>Affidavit of Mr. M.P. Dlamini in the review. There is no replying affidavit.</w:t>
      </w:r>
    </w:p>
    <w:p w:rsidR="002C5CB4" w:rsidRPr="002C5CB4" w:rsidRDefault="002C5CB4" w:rsidP="002C5CB4">
      <w:pPr>
        <w:pStyle w:val="NormalWeb"/>
        <w:spacing w:line="360" w:lineRule="auto"/>
        <w:ind w:left="720"/>
        <w:jc w:val="both"/>
        <w:rPr>
          <w:rFonts w:ascii="Bookman Old Style" w:hAnsi="Bookman Old Style"/>
          <w:lang/>
        </w:rPr>
      </w:pPr>
      <w:r w:rsidRPr="002C5CB4">
        <w:rPr>
          <w:rFonts w:ascii="Bookman Old Style" w:hAnsi="Bookman Old Style"/>
          <w:lang/>
        </w:rPr>
        <w:t xml:space="preserve">[19] Mr. </w:t>
      </w:r>
      <w:proofErr w:type="spellStart"/>
      <w:r w:rsidRPr="002C5CB4">
        <w:rPr>
          <w:rFonts w:ascii="Bookman Old Style" w:hAnsi="Bookman Old Style"/>
          <w:lang/>
        </w:rPr>
        <w:t>Mabuza</w:t>
      </w:r>
      <w:proofErr w:type="spellEnd"/>
      <w:r w:rsidRPr="002C5CB4">
        <w:rPr>
          <w:rFonts w:ascii="Bookman Old Style" w:hAnsi="Bookman Old Style"/>
          <w:lang/>
        </w:rPr>
        <w:t xml:space="preserve"> also submitted that the Court </w:t>
      </w:r>
      <w:r w:rsidRPr="002C5CB4">
        <w:rPr>
          <w:rStyle w:val="Emphasis"/>
          <w:rFonts w:ascii="Bookman Old Style" w:hAnsi="Bookman Old Style"/>
          <w:lang/>
        </w:rPr>
        <w:t>a quo</w:t>
      </w:r>
      <w:r w:rsidRPr="002C5CB4">
        <w:rPr>
          <w:rFonts w:ascii="Bookman Old Style" w:hAnsi="Bookman Old Style"/>
          <w:lang/>
        </w:rPr>
        <w:t xml:space="preserve"> had erred in deciding the point </w:t>
      </w:r>
      <w:r w:rsidRPr="002C5CB4">
        <w:rPr>
          <w:rStyle w:val="Emphasis"/>
          <w:rFonts w:ascii="Bookman Old Style" w:hAnsi="Bookman Old Style"/>
          <w:lang/>
        </w:rPr>
        <w:t>in limine</w:t>
      </w:r>
      <w:r w:rsidRPr="002C5CB4">
        <w:rPr>
          <w:rFonts w:ascii="Bookman Old Style" w:hAnsi="Bookman Old Style"/>
          <w:lang/>
        </w:rPr>
        <w:t xml:space="preserve"> as to the </w:t>
      </w:r>
      <w:r w:rsidRPr="002C5CB4">
        <w:rPr>
          <w:rStyle w:val="Emphasis"/>
          <w:rFonts w:ascii="Bookman Old Style" w:hAnsi="Bookman Old Style"/>
          <w:lang/>
        </w:rPr>
        <w:t>locus standi</w:t>
      </w:r>
      <w:r w:rsidRPr="002C5CB4">
        <w:rPr>
          <w:rFonts w:ascii="Bookman Old Style" w:hAnsi="Bookman Old Style"/>
          <w:lang/>
        </w:rPr>
        <w:t xml:space="preserve"> of what was described as the ‘fourth applicant’ in that Court since second, third and fourth applicants had not been afforded a hearing before the seizure of the bank accounts. As for the ‘fourth applicant’, it could not been given a hearing since it had no </w:t>
      </w:r>
      <w:r w:rsidRPr="002C5CB4">
        <w:rPr>
          <w:rStyle w:val="Emphasis"/>
          <w:rFonts w:ascii="Bookman Old Style" w:hAnsi="Bookman Old Style"/>
          <w:lang/>
        </w:rPr>
        <w:t>locus standi</w:t>
      </w:r>
      <w:r w:rsidRPr="002C5CB4">
        <w:rPr>
          <w:rFonts w:ascii="Bookman Old Style" w:hAnsi="Bookman Old Style"/>
          <w:lang/>
        </w:rPr>
        <w:t xml:space="preserve"> and in fact never came into existence as it was never registered in terms of the Co-operative Societies Act 5 of 2003. In any event, it only purported to become a party to these proceedings after the review application was authorized by the Court, long after the seizure. As pointed out by Mr. Dlamini at paragraph 6.3 of his answering affidavit.</w:t>
      </w:r>
    </w:p>
    <w:p w:rsidR="002C5CB4" w:rsidRPr="002C5CB4" w:rsidRDefault="002C5CB4" w:rsidP="002C5CB4">
      <w:pPr>
        <w:pStyle w:val="NormalWeb"/>
        <w:spacing w:line="360" w:lineRule="auto"/>
        <w:ind w:left="1440"/>
        <w:jc w:val="both"/>
        <w:rPr>
          <w:rFonts w:ascii="Bookman Old Style" w:hAnsi="Bookman Old Style"/>
          <w:lang/>
        </w:rPr>
      </w:pPr>
      <w:r w:rsidRPr="002C5CB4">
        <w:rPr>
          <w:rStyle w:val="Emphasis"/>
          <w:rFonts w:ascii="Bookman Old Style" w:hAnsi="Bookman Old Style"/>
          <w:lang/>
        </w:rPr>
        <w:t xml:space="preserve">“The learned Judge appears to have lost sight of the fact that it was common cause on the papers that the so-called </w:t>
      </w:r>
      <w:r w:rsidRPr="002C5CB4">
        <w:rPr>
          <w:rStyle w:val="Strong"/>
          <w:rFonts w:ascii="Bookman Old Style" w:hAnsi="Bookman Old Style"/>
          <w:i/>
          <w:iCs/>
          <w:lang/>
        </w:rPr>
        <w:t xml:space="preserve">“Proposed Savings and Credit Co-operative Society” </w:t>
      </w:r>
      <w:r w:rsidRPr="002C5CB4">
        <w:rPr>
          <w:rStyle w:val="Emphasis"/>
          <w:rFonts w:ascii="Bookman Old Style" w:hAnsi="Bookman Old Style"/>
          <w:lang/>
        </w:rPr>
        <w:t xml:space="preserve">had not, and at no stage has, applied for registration as co-operative in terms of Section 8 of the </w:t>
      </w:r>
      <w:r w:rsidRPr="002C5CB4">
        <w:rPr>
          <w:rStyle w:val="Strong"/>
          <w:rFonts w:ascii="Bookman Old Style" w:hAnsi="Bookman Old Style"/>
          <w:i/>
          <w:iCs/>
          <w:lang/>
        </w:rPr>
        <w:t xml:space="preserve">Co-operative Societies Act, (Act 5 of 2003) </w:t>
      </w:r>
      <w:r w:rsidRPr="002C5CB4">
        <w:rPr>
          <w:rStyle w:val="Emphasis"/>
          <w:rFonts w:ascii="Bookman Old Style" w:hAnsi="Bookman Old Style"/>
          <w:lang/>
        </w:rPr>
        <w:t xml:space="preserve">and has at no stage enjoyed provisional registration as set out in </w:t>
      </w:r>
      <w:r w:rsidRPr="002C5CB4">
        <w:rPr>
          <w:rStyle w:val="Strong"/>
          <w:rFonts w:ascii="Bookman Old Style" w:hAnsi="Bookman Old Style"/>
          <w:i/>
          <w:iCs/>
          <w:lang/>
        </w:rPr>
        <w:t>Section 13 of the Act</w:t>
      </w:r>
      <w:r w:rsidRPr="002C5CB4">
        <w:rPr>
          <w:rStyle w:val="Emphasis"/>
          <w:rFonts w:ascii="Bookman Old Style" w:hAnsi="Bookman Old Style"/>
          <w:lang/>
        </w:rPr>
        <w:t xml:space="preserve"> in question”.</w:t>
      </w:r>
    </w:p>
    <w:p w:rsidR="002C5CB4" w:rsidRPr="002C5CB4" w:rsidRDefault="002C5CB4" w:rsidP="002C5CB4">
      <w:pPr>
        <w:pStyle w:val="NormalWeb"/>
        <w:spacing w:line="360" w:lineRule="auto"/>
        <w:ind w:left="720"/>
        <w:jc w:val="both"/>
        <w:rPr>
          <w:rFonts w:ascii="Bookman Old Style" w:hAnsi="Bookman Old Style"/>
          <w:lang/>
        </w:rPr>
      </w:pPr>
      <w:r w:rsidRPr="002C5CB4">
        <w:rPr>
          <w:rFonts w:ascii="Bookman Old Style" w:hAnsi="Bookman Old Style"/>
          <w:lang/>
        </w:rPr>
        <w:t xml:space="preserve">This is not gainsaid since there is no replying affidavit. Nor did Mr. </w:t>
      </w:r>
      <w:proofErr w:type="spellStart"/>
      <w:r w:rsidRPr="002C5CB4">
        <w:rPr>
          <w:rFonts w:ascii="Bookman Old Style" w:hAnsi="Bookman Old Style"/>
          <w:lang/>
        </w:rPr>
        <w:t>Mabuza</w:t>
      </w:r>
      <w:proofErr w:type="spellEnd"/>
      <w:r w:rsidRPr="002C5CB4">
        <w:rPr>
          <w:rFonts w:ascii="Bookman Old Style" w:hAnsi="Bookman Old Style"/>
          <w:lang/>
        </w:rPr>
        <w:t xml:space="preserve"> question the correctness of this statement before us.</w:t>
      </w:r>
    </w:p>
    <w:p w:rsidR="002C5CB4" w:rsidRPr="002C5CB4" w:rsidRDefault="002C5CB4" w:rsidP="002C5CB4">
      <w:pPr>
        <w:pStyle w:val="NormalWeb"/>
        <w:spacing w:line="360" w:lineRule="auto"/>
        <w:ind w:left="720"/>
        <w:jc w:val="both"/>
        <w:rPr>
          <w:rFonts w:ascii="Bookman Old Style" w:hAnsi="Bookman Old Style"/>
          <w:lang/>
        </w:rPr>
      </w:pPr>
      <w:r w:rsidRPr="002C5CB4">
        <w:rPr>
          <w:rFonts w:ascii="Bookman Old Style" w:hAnsi="Bookman Old Style"/>
          <w:lang/>
        </w:rPr>
        <w:t xml:space="preserve">[20] In regard to the position of the second and third appellants, and as the learned Judge </w:t>
      </w:r>
      <w:r w:rsidRPr="002C5CB4">
        <w:rPr>
          <w:rStyle w:val="Emphasis"/>
          <w:rFonts w:ascii="Bookman Old Style" w:hAnsi="Bookman Old Style"/>
          <w:lang/>
        </w:rPr>
        <w:t>a quo</w:t>
      </w:r>
      <w:r w:rsidRPr="002C5CB4">
        <w:rPr>
          <w:rFonts w:ascii="Bookman Old Style" w:hAnsi="Bookman Old Style"/>
          <w:lang/>
        </w:rPr>
        <w:t xml:space="preserve"> pointed out, this is palpably untrue since the first appellant, on his own version, had discussions with first appellant’s representatives, received correspondence from the first respondent and responded unsatisfactorily to the Bank’s queries before action was taken against him. Having </w:t>
      </w:r>
      <w:proofErr w:type="gramStart"/>
      <w:r w:rsidRPr="002C5CB4">
        <w:rPr>
          <w:rFonts w:ascii="Bookman Old Style" w:hAnsi="Bookman Old Style"/>
          <w:lang/>
        </w:rPr>
        <w:t>regard</w:t>
      </w:r>
      <w:proofErr w:type="gramEnd"/>
      <w:r w:rsidRPr="002C5CB4">
        <w:rPr>
          <w:rFonts w:ascii="Bookman Old Style" w:hAnsi="Bookman Old Style"/>
          <w:lang/>
        </w:rPr>
        <w:t xml:space="preserve"> to the controlling position which he held in second and third respondents, it would have </w:t>
      </w:r>
      <w:r w:rsidRPr="002C5CB4">
        <w:rPr>
          <w:rFonts w:ascii="Bookman Old Style" w:hAnsi="Bookman Old Style"/>
          <w:lang/>
        </w:rPr>
        <w:lastRenderedPageBreak/>
        <w:t xml:space="preserve">been ridiculous for separate discussions to have been held with him in his personal capacity, and in his various representative capacities. As Mr. </w:t>
      </w:r>
      <w:proofErr w:type="spellStart"/>
      <w:r w:rsidRPr="002C5CB4">
        <w:rPr>
          <w:rFonts w:ascii="Bookman Old Style" w:hAnsi="Bookman Old Style"/>
          <w:lang/>
        </w:rPr>
        <w:t>Joubert</w:t>
      </w:r>
      <w:proofErr w:type="spellEnd"/>
      <w:r w:rsidRPr="002C5CB4">
        <w:rPr>
          <w:rFonts w:ascii="Bookman Old Style" w:hAnsi="Bookman Old Style"/>
          <w:lang/>
        </w:rPr>
        <w:t xml:space="preserve"> rightly put it, the second and third respondents “were there” in the person of the first appellant when the various discussions and communications with the Bank took place.</w:t>
      </w:r>
    </w:p>
    <w:p w:rsidR="002C5CB4" w:rsidRPr="002C5CB4" w:rsidRDefault="002C5CB4" w:rsidP="002C5CB4">
      <w:pPr>
        <w:pStyle w:val="NormalWeb"/>
        <w:spacing w:line="360" w:lineRule="auto"/>
        <w:ind w:left="720"/>
        <w:jc w:val="both"/>
        <w:rPr>
          <w:rFonts w:ascii="Bookman Old Style" w:hAnsi="Bookman Old Style"/>
          <w:lang/>
        </w:rPr>
      </w:pPr>
      <w:r w:rsidRPr="002C5CB4">
        <w:rPr>
          <w:rFonts w:ascii="Bookman Old Style" w:hAnsi="Bookman Old Style"/>
          <w:lang/>
        </w:rPr>
        <w:t xml:space="preserve">[21] There is, in my view, no merit in any of the submissions of Mr. </w:t>
      </w:r>
      <w:proofErr w:type="spellStart"/>
      <w:r w:rsidRPr="002C5CB4">
        <w:rPr>
          <w:rFonts w:ascii="Bookman Old Style" w:hAnsi="Bookman Old Style"/>
          <w:lang/>
        </w:rPr>
        <w:t>Mabuza</w:t>
      </w:r>
      <w:proofErr w:type="spellEnd"/>
      <w:r w:rsidRPr="002C5CB4">
        <w:rPr>
          <w:rFonts w:ascii="Bookman Old Style" w:hAnsi="Bookman Old Style"/>
          <w:lang/>
        </w:rPr>
        <w:t xml:space="preserve"> save for the point </w:t>
      </w:r>
      <w:r w:rsidRPr="002C5CB4">
        <w:rPr>
          <w:rStyle w:val="Emphasis"/>
          <w:rFonts w:ascii="Bookman Old Style" w:hAnsi="Bookman Old Style"/>
          <w:lang/>
        </w:rPr>
        <w:t>in limine</w:t>
      </w:r>
      <w:r w:rsidRPr="002C5CB4">
        <w:rPr>
          <w:rFonts w:ascii="Bookman Old Style" w:hAnsi="Bookman Old Style"/>
          <w:lang/>
        </w:rPr>
        <w:t xml:space="preserve"> of misjoinder. In the result, the appeal is dismissed with costs, it being recorded that Mr. </w:t>
      </w:r>
      <w:proofErr w:type="spellStart"/>
      <w:r w:rsidRPr="002C5CB4">
        <w:rPr>
          <w:rFonts w:ascii="Bookman Old Style" w:hAnsi="Bookman Old Style"/>
          <w:lang/>
        </w:rPr>
        <w:t>Joubert</w:t>
      </w:r>
      <w:proofErr w:type="spellEnd"/>
      <w:r w:rsidRPr="002C5CB4">
        <w:rPr>
          <w:rFonts w:ascii="Bookman Old Style" w:hAnsi="Bookman Old Style"/>
          <w:lang/>
        </w:rPr>
        <w:t xml:space="preserve"> appeared in the capacity of Senior Counsel, and that the taxing master should have regard thereto.</w:t>
      </w:r>
    </w:p>
    <w:p w:rsidR="002C5CB4" w:rsidRPr="002C5CB4" w:rsidRDefault="002C5CB4" w:rsidP="002C5CB4">
      <w:pPr>
        <w:pStyle w:val="NormalWeb"/>
        <w:spacing w:line="360" w:lineRule="auto"/>
        <w:ind w:left="720"/>
        <w:jc w:val="both"/>
        <w:rPr>
          <w:rFonts w:ascii="Bookman Old Style" w:hAnsi="Bookman Old Style"/>
          <w:lang/>
        </w:rPr>
      </w:pPr>
      <w:r w:rsidRPr="002C5CB4">
        <w:rPr>
          <w:rFonts w:ascii="Bookman Old Style" w:hAnsi="Bookman Old Style"/>
          <w:lang/>
        </w:rPr>
        <w:t>_______________________</w:t>
      </w:r>
    </w:p>
    <w:p w:rsidR="002C5CB4" w:rsidRPr="002C5CB4" w:rsidRDefault="002C5CB4" w:rsidP="002C5CB4">
      <w:pPr>
        <w:pStyle w:val="NormalWeb"/>
        <w:spacing w:line="360" w:lineRule="auto"/>
        <w:ind w:left="720"/>
        <w:jc w:val="both"/>
        <w:rPr>
          <w:rFonts w:ascii="Bookman Old Style" w:hAnsi="Bookman Old Style"/>
          <w:lang/>
        </w:rPr>
      </w:pPr>
      <w:r w:rsidRPr="002C5CB4">
        <w:rPr>
          <w:rStyle w:val="Strong"/>
          <w:rFonts w:ascii="Bookman Old Style" w:hAnsi="Bookman Old Style"/>
          <w:lang/>
        </w:rPr>
        <w:t>J.G. FOXCROFT</w:t>
      </w:r>
    </w:p>
    <w:p w:rsidR="002C5CB4" w:rsidRPr="002C5CB4" w:rsidRDefault="002C5CB4" w:rsidP="002C5CB4">
      <w:pPr>
        <w:pStyle w:val="NormalWeb"/>
        <w:spacing w:line="360" w:lineRule="auto"/>
        <w:ind w:left="720"/>
        <w:jc w:val="both"/>
        <w:rPr>
          <w:rFonts w:ascii="Bookman Old Style" w:hAnsi="Bookman Old Style"/>
          <w:lang/>
        </w:rPr>
      </w:pPr>
      <w:r w:rsidRPr="002C5CB4">
        <w:rPr>
          <w:rStyle w:val="Strong"/>
          <w:rFonts w:ascii="Bookman Old Style" w:hAnsi="Bookman Old Style"/>
          <w:lang/>
        </w:rPr>
        <w:t>JUSTICE OF APPEAL</w:t>
      </w:r>
    </w:p>
    <w:p w:rsidR="002C5CB4" w:rsidRPr="002C5CB4" w:rsidRDefault="002C5CB4" w:rsidP="002C5CB4">
      <w:pPr>
        <w:pStyle w:val="NormalWeb"/>
        <w:spacing w:line="360" w:lineRule="auto"/>
        <w:ind w:left="720"/>
        <w:jc w:val="both"/>
        <w:rPr>
          <w:rFonts w:ascii="Bookman Old Style" w:hAnsi="Bookman Old Style"/>
          <w:lang/>
        </w:rPr>
      </w:pPr>
      <w:r w:rsidRPr="002C5CB4">
        <w:rPr>
          <w:rStyle w:val="Strong"/>
          <w:rFonts w:ascii="Bookman Old Style" w:hAnsi="Bookman Old Style"/>
          <w:lang/>
        </w:rPr>
        <w:t>I AGREE ____________________________</w:t>
      </w:r>
    </w:p>
    <w:p w:rsidR="002C5CB4" w:rsidRPr="002C5CB4" w:rsidRDefault="002C5CB4" w:rsidP="002C5CB4">
      <w:pPr>
        <w:pStyle w:val="NormalWeb"/>
        <w:spacing w:line="360" w:lineRule="auto"/>
        <w:ind w:left="720"/>
        <w:jc w:val="both"/>
        <w:rPr>
          <w:rFonts w:ascii="Bookman Old Style" w:hAnsi="Bookman Old Style"/>
          <w:lang/>
        </w:rPr>
      </w:pPr>
      <w:r w:rsidRPr="002C5CB4">
        <w:rPr>
          <w:rStyle w:val="Strong"/>
          <w:rFonts w:ascii="Bookman Old Style" w:hAnsi="Bookman Old Style"/>
          <w:lang/>
        </w:rPr>
        <w:t>A.M. EBRAHIM</w:t>
      </w:r>
    </w:p>
    <w:p w:rsidR="002C5CB4" w:rsidRPr="002C5CB4" w:rsidRDefault="002C5CB4" w:rsidP="002C5CB4">
      <w:pPr>
        <w:pStyle w:val="NormalWeb"/>
        <w:spacing w:line="360" w:lineRule="auto"/>
        <w:ind w:left="720"/>
        <w:jc w:val="both"/>
        <w:rPr>
          <w:rFonts w:ascii="Bookman Old Style" w:hAnsi="Bookman Old Style"/>
          <w:lang/>
        </w:rPr>
      </w:pPr>
      <w:r w:rsidRPr="002C5CB4">
        <w:rPr>
          <w:rStyle w:val="Strong"/>
          <w:rFonts w:ascii="Bookman Old Style" w:hAnsi="Bookman Old Style"/>
          <w:lang/>
        </w:rPr>
        <w:t>JUSTICE OF APPEAL</w:t>
      </w:r>
    </w:p>
    <w:p w:rsidR="002C5CB4" w:rsidRPr="002C5CB4" w:rsidRDefault="002C5CB4" w:rsidP="002C5CB4">
      <w:pPr>
        <w:pStyle w:val="NormalWeb"/>
        <w:spacing w:line="360" w:lineRule="auto"/>
        <w:ind w:left="720"/>
        <w:jc w:val="both"/>
        <w:rPr>
          <w:rFonts w:ascii="Bookman Old Style" w:hAnsi="Bookman Old Style"/>
          <w:lang/>
        </w:rPr>
      </w:pPr>
      <w:r w:rsidRPr="002C5CB4">
        <w:rPr>
          <w:rStyle w:val="Strong"/>
          <w:rFonts w:ascii="Bookman Old Style" w:hAnsi="Bookman Old Style"/>
          <w:lang/>
        </w:rPr>
        <w:t>I AGREE ____________________________</w:t>
      </w:r>
    </w:p>
    <w:p w:rsidR="002C5CB4" w:rsidRPr="002C5CB4" w:rsidRDefault="002C5CB4" w:rsidP="002C5CB4">
      <w:pPr>
        <w:pStyle w:val="NormalWeb"/>
        <w:spacing w:line="360" w:lineRule="auto"/>
        <w:ind w:left="720"/>
        <w:jc w:val="both"/>
        <w:rPr>
          <w:rFonts w:ascii="Bookman Old Style" w:hAnsi="Bookman Old Style"/>
          <w:lang/>
        </w:rPr>
      </w:pPr>
      <w:r w:rsidRPr="002C5CB4">
        <w:rPr>
          <w:rStyle w:val="Strong"/>
          <w:rFonts w:ascii="Bookman Old Style" w:hAnsi="Bookman Old Style"/>
          <w:lang/>
        </w:rPr>
        <w:t>I.G. FARLAM</w:t>
      </w:r>
    </w:p>
    <w:p w:rsidR="002C5CB4" w:rsidRPr="002C5CB4" w:rsidRDefault="002C5CB4" w:rsidP="002C5CB4">
      <w:pPr>
        <w:pStyle w:val="NormalWeb"/>
        <w:spacing w:line="360" w:lineRule="auto"/>
        <w:ind w:left="720"/>
        <w:jc w:val="both"/>
        <w:rPr>
          <w:rFonts w:ascii="Bookman Old Style" w:hAnsi="Bookman Old Style"/>
          <w:lang/>
        </w:rPr>
      </w:pPr>
      <w:r w:rsidRPr="002C5CB4">
        <w:rPr>
          <w:rStyle w:val="Strong"/>
          <w:rFonts w:ascii="Bookman Old Style" w:hAnsi="Bookman Old Style"/>
          <w:lang/>
        </w:rPr>
        <w:t>JUSTICE OF APPEAL</w:t>
      </w:r>
    </w:p>
    <w:p w:rsidR="002C5CB4" w:rsidRPr="002C5CB4" w:rsidRDefault="002C5CB4" w:rsidP="002C5CB4">
      <w:pPr>
        <w:pStyle w:val="NormalWeb"/>
        <w:spacing w:line="360" w:lineRule="auto"/>
        <w:ind w:left="720"/>
        <w:jc w:val="both"/>
        <w:rPr>
          <w:rFonts w:ascii="Bookman Old Style" w:hAnsi="Bookman Old Style"/>
          <w:lang/>
        </w:rPr>
      </w:pPr>
      <w:r w:rsidRPr="002C5CB4">
        <w:rPr>
          <w:rStyle w:val="Strong"/>
          <w:rFonts w:ascii="Bookman Old Style" w:hAnsi="Bookman Old Style"/>
          <w:lang/>
        </w:rPr>
        <w:t>DELIVERED IN OPEN COURT OF THIS ………….. MAY 2010</w:t>
      </w:r>
    </w:p>
    <w:p w:rsidR="00697575" w:rsidRPr="002C5CB4" w:rsidRDefault="00697575" w:rsidP="002C5CB4">
      <w:pPr>
        <w:spacing w:line="360" w:lineRule="auto"/>
        <w:jc w:val="both"/>
        <w:rPr>
          <w:rFonts w:ascii="Bookman Old Style" w:hAnsi="Bookman Old Style"/>
          <w:sz w:val="24"/>
          <w:szCs w:val="24"/>
        </w:rPr>
      </w:pPr>
    </w:p>
    <w:sectPr w:rsidR="00697575" w:rsidRPr="002C5C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CB4"/>
    <w:rsid w:val="00011C62"/>
    <w:rsid w:val="0006323D"/>
    <w:rsid w:val="001830D4"/>
    <w:rsid w:val="001C0547"/>
    <w:rsid w:val="002C2735"/>
    <w:rsid w:val="002C5CB4"/>
    <w:rsid w:val="00312E8D"/>
    <w:rsid w:val="003236F6"/>
    <w:rsid w:val="004518D0"/>
    <w:rsid w:val="00460FB3"/>
    <w:rsid w:val="004C2FDB"/>
    <w:rsid w:val="005159BF"/>
    <w:rsid w:val="005274FA"/>
    <w:rsid w:val="005634DC"/>
    <w:rsid w:val="005D1BAE"/>
    <w:rsid w:val="00646271"/>
    <w:rsid w:val="00683143"/>
    <w:rsid w:val="00697575"/>
    <w:rsid w:val="006D1F6E"/>
    <w:rsid w:val="00705D66"/>
    <w:rsid w:val="007C5DD8"/>
    <w:rsid w:val="0080306A"/>
    <w:rsid w:val="00831A0C"/>
    <w:rsid w:val="008D4462"/>
    <w:rsid w:val="00985934"/>
    <w:rsid w:val="00A800EA"/>
    <w:rsid w:val="00A93667"/>
    <w:rsid w:val="00BA7469"/>
    <w:rsid w:val="00BC4A91"/>
    <w:rsid w:val="00C61015"/>
    <w:rsid w:val="00CB7485"/>
    <w:rsid w:val="00D0494A"/>
    <w:rsid w:val="00D17B9B"/>
    <w:rsid w:val="00D33331"/>
    <w:rsid w:val="00E17270"/>
    <w:rsid w:val="00E25798"/>
    <w:rsid w:val="00E37DFE"/>
    <w:rsid w:val="00F56A89"/>
    <w:rsid w:val="00F57D66"/>
    <w:rsid w:val="00F60D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5CB4"/>
    <w:rPr>
      <w:b/>
      <w:bCs/>
    </w:rPr>
  </w:style>
  <w:style w:type="paragraph" w:styleId="NormalWeb">
    <w:name w:val="Normal (Web)"/>
    <w:basedOn w:val="Normal"/>
    <w:uiPriority w:val="99"/>
    <w:semiHidden/>
    <w:unhideWhenUsed/>
    <w:rsid w:val="002C5CB4"/>
    <w:pPr>
      <w:spacing w:after="360"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2C5C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5CB4"/>
    <w:rPr>
      <w:b/>
      <w:bCs/>
    </w:rPr>
  </w:style>
  <w:style w:type="paragraph" w:styleId="NormalWeb">
    <w:name w:val="Normal (Web)"/>
    <w:basedOn w:val="Normal"/>
    <w:uiPriority w:val="99"/>
    <w:semiHidden/>
    <w:unhideWhenUsed/>
    <w:rsid w:val="002C5CB4"/>
    <w:pPr>
      <w:spacing w:after="360"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2C5C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037326">
      <w:bodyDiv w:val="1"/>
      <w:marLeft w:val="0"/>
      <w:marRight w:val="0"/>
      <w:marTop w:val="0"/>
      <w:marBottom w:val="0"/>
      <w:divBdr>
        <w:top w:val="none" w:sz="0" w:space="0" w:color="auto"/>
        <w:left w:val="none" w:sz="0" w:space="0" w:color="auto"/>
        <w:bottom w:val="none" w:sz="0" w:space="0" w:color="auto"/>
        <w:right w:val="none" w:sz="0" w:space="0" w:color="auto"/>
      </w:divBdr>
      <w:divsChild>
        <w:div w:id="1303736365">
          <w:marLeft w:val="0"/>
          <w:marRight w:val="0"/>
          <w:marTop w:val="0"/>
          <w:marBottom w:val="0"/>
          <w:divBdr>
            <w:top w:val="none" w:sz="0" w:space="0" w:color="auto"/>
            <w:left w:val="none" w:sz="0" w:space="0" w:color="auto"/>
            <w:bottom w:val="none" w:sz="0" w:space="0" w:color="auto"/>
            <w:right w:val="none" w:sz="0" w:space="0" w:color="auto"/>
          </w:divBdr>
          <w:divsChild>
            <w:div w:id="2114325457">
              <w:marLeft w:val="0"/>
              <w:marRight w:val="0"/>
              <w:marTop w:val="0"/>
              <w:marBottom w:val="0"/>
              <w:divBdr>
                <w:top w:val="none" w:sz="0" w:space="0" w:color="auto"/>
                <w:left w:val="none" w:sz="0" w:space="0" w:color="auto"/>
                <w:bottom w:val="none" w:sz="0" w:space="0" w:color="auto"/>
                <w:right w:val="none" w:sz="0" w:space="0" w:color="auto"/>
              </w:divBdr>
              <w:divsChild>
                <w:div w:id="1204171512">
                  <w:marLeft w:val="0"/>
                  <w:marRight w:val="0"/>
                  <w:marTop w:val="0"/>
                  <w:marBottom w:val="0"/>
                  <w:divBdr>
                    <w:top w:val="none" w:sz="0" w:space="0" w:color="auto"/>
                    <w:left w:val="none" w:sz="0" w:space="0" w:color="auto"/>
                    <w:bottom w:val="none" w:sz="0" w:space="0" w:color="auto"/>
                    <w:right w:val="none" w:sz="0" w:space="0" w:color="auto"/>
                  </w:divBdr>
                  <w:divsChild>
                    <w:div w:id="647710183">
                      <w:marLeft w:val="0"/>
                      <w:marRight w:val="0"/>
                      <w:marTop w:val="0"/>
                      <w:marBottom w:val="0"/>
                      <w:divBdr>
                        <w:top w:val="none" w:sz="0" w:space="0" w:color="auto"/>
                        <w:left w:val="none" w:sz="0" w:space="0" w:color="auto"/>
                        <w:bottom w:val="none" w:sz="0" w:space="0" w:color="auto"/>
                        <w:right w:val="none" w:sz="0" w:space="0" w:color="auto"/>
                      </w:divBdr>
                      <w:divsChild>
                        <w:div w:id="1943688776">
                          <w:marLeft w:val="0"/>
                          <w:marRight w:val="0"/>
                          <w:marTop w:val="0"/>
                          <w:marBottom w:val="300"/>
                          <w:divBdr>
                            <w:top w:val="single" w:sz="2" w:space="0" w:color="CCCCCC"/>
                            <w:left w:val="single" w:sz="6" w:space="0" w:color="CCCCCC"/>
                            <w:bottom w:val="single" w:sz="6" w:space="0" w:color="CCCCCC"/>
                            <w:right w:val="single" w:sz="6" w:space="0" w:color="CCCCCC"/>
                          </w:divBdr>
                          <w:divsChild>
                            <w:div w:id="1307006955">
                              <w:marLeft w:val="0"/>
                              <w:marRight w:val="0"/>
                              <w:marTop w:val="0"/>
                              <w:marBottom w:val="0"/>
                              <w:divBdr>
                                <w:top w:val="none" w:sz="0" w:space="0" w:color="auto"/>
                                <w:left w:val="none" w:sz="0" w:space="0" w:color="auto"/>
                                <w:bottom w:val="none" w:sz="0" w:space="0" w:color="auto"/>
                                <w:right w:val="none" w:sz="0" w:space="0" w:color="auto"/>
                              </w:divBdr>
                              <w:divsChild>
                                <w:div w:id="1795757666">
                                  <w:marLeft w:val="0"/>
                                  <w:marRight w:val="0"/>
                                  <w:marTop w:val="0"/>
                                  <w:marBottom w:val="0"/>
                                  <w:divBdr>
                                    <w:top w:val="none" w:sz="0" w:space="0" w:color="auto"/>
                                    <w:left w:val="none" w:sz="0" w:space="0" w:color="auto"/>
                                    <w:bottom w:val="none" w:sz="0" w:space="0" w:color="auto"/>
                                    <w:right w:val="none" w:sz="0" w:space="0" w:color="auto"/>
                                  </w:divBdr>
                                  <w:divsChild>
                                    <w:div w:id="1599481948">
                                      <w:marLeft w:val="0"/>
                                      <w:marRight w:val="-100"/>
                                      <w:marTop w:val="0"/>
                                      <w:marBottom w:val="0"/>
                                      <w:divBdr>
                                        <w:top w:val="none" w:sz="0" w:space="0" w:color="auto"/>
                                        <w:left w:val="none" w:sz="0" w:space="0" w:color="auto"/>
                                        <w:bottom w:val="none" w:sz="0" w:space="0" w:color="auto"/>
                                        <w:right w:val="none" w:sz="0" w:space="0" w:color="auto"/>
                                      </w:divBdr>
                                      <w:divsChild>
                                        <w:div w:id="1304042360">
                                          <w:marLeft w:val="0"/>
                                          <w:marRight w:val="0"/>
                                          <w:marTop w:val="0"/>
                                          <w:marBottom w:val="0"/>
                                          <w:divBdr>
                                            <w:top w:val="none" w:sz="0" w:space="0" w:color="auto"/>
                                            <w:left w:val="none" w:sz="0" w:space="0" w:color="auto"/>
                                            <w:bottom w:val="none" w:sz="0" w:space="0" w:color="auto"/>
                                            <w:right w:val="none" w:sz="0" w:space="0" w:color="auto"/>
                                          </w:divBdr>
                                          <w:divsChild>
                                            <w:div w:id="299462185">
                                              <w:marLeft w:val="0"/>
                                              <w:marRight w:val="0"/>
                                              <w:marTop w:val="0"/>
                                              <w:marBottom w:val="0"/>
                                              <w:divBdr>
                                                <w:top w:val="none" w:sz="0" w:space="0" w:color="auto"/>
                                                <w:left w:val="none" w:sz="0" w:space="0" w:color="auto"/>
                                                <w:bottom w:val="none" w:sz="0" w:space="0" w:color="auto"/>
                                                <w:right w:val="none" w:sz="0" w:space="0" w:color="auto"/>
                                              </w:divBdr>
                                              <w:divsChild>
                                                <w:div w:id="1352957007">
                                                  <w:marLeft w:val="0"/>
                                                  <w:marRight w:val="0"/>
                                                  <w:marTop w:val="0"/>
                                                  <w:marBottom w:val="0"/>
                                                  <w:divBdr>
                                                    <w:top w:val="none" w:sz="0" w:space="0" w:color="auto"/>
                                                    <w:left w:val="none" w:sz="0" w:space="0" w:color="auto"/>
                                                    <w:bottom w:val="none" w:sz="0" w:space="0" w:color="auto"/>
                                                    <w:right w:val="none" w:sz="0" w:space="0" w:color="auto"/>
                                                  </w:divBdr>
                                                  <w:divsChild>
                                                    <w:div w:id="1682121242">
                                                      <w:marLeft w:val="0"/>
                                                      <w:marRight w:val="0"/>
                                                      <w:marTop w:val="0"/>
                                                      <w:marBottom w:val="0"/>
                                                      <w:divBdr>
                                                        <w:top w:val="none" w:sz="0" w:space="0" w:color="auto"/>
                                                        <w:left w:val="none" w:sz="0" w:space="0" w:color="auto"/>
                                                        <w:bottom w:val="none" w:sz="0" w:space="0" w:color="auto"/>
                                                        <w:right w:val="none" w:sz="0" w:space="0" w:color="auto"/>
                                                      </w:divBdr>
                                                      <w:divsChild>
                                                        <w:div w:id="2075929709">
                                                          <w:marLeft w:val="0"/>
                                                          <w:marRight w:val="0"/>
                                                          <w:marTop w:val="0"/>
                                                          <w:marBottom w:val="0"/>
                                                          <w:divBdr>
                                                            <w:top w:val="none" w:sz="0" w:space="0" w:color="auto"/>
                                                            <w:left w:val="none" w:sz="0" w:space="0" w:color="auto"/>
                                                            <w:bottom w:val="none" w:sz="0" w:space="0" w:color="auto"/>
                                                            <w:right w:val="none" w:sz="0" w:space="0" w:color="auto"/>
                                                          </w:divBdr>
                                                          <w:divsChild>
                                                            <w:div w:id="15714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2384</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swazilii</dc:creator>
  <cp:lastModifiedBy>swazilii</cp:lastModifiedBy>
  <cp:revision>1</cp:revision>
  <dcterms:created xsi:type="dcterms:W3CDTF">2012-07-09T14:01:00Z</dcterms:created>
  <dcterms:modified xsi:type="dcterms:W3CDTF">2012-07-09T14:05:00Z</dcterms:modified>
</cp:coreProperties>
</file>