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noProof/>
          <w:sz w:val="24"/>
          <w:szCs w:val="24"/>
          <w:lang w:eastAsia="en-ZA"/>
        </w:rPr>
        <mc:AlternateContent>
          <mc:Choice Requires="wps">
            <w:drawing>
              <wp:inline distT="0" distB="0" distL="0" distR="0" wp14:anchorId="153F36A1" wp14:editId="351F7C28">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35352F" w:rsidRPr="0035352F" w:rsidRDefault="0035352F" w:rsidP="0035352F">
      <w:pPr>
        <w:spacing w:after="360" w:line="360" w:lineRule="auto"/>
        <w:jc w:val="center"/>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b/>
          <w:bCs/>
          <w:sz w:val="24"/>
          <w:szCs w:val="24"/>
          <w:u w:val="single"/>
          <w:lang w:eastAsia="en-ZA"/>
        </w:rPr>
        <w:t>IN THE SUPREME COURT OF SWAZILAND</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b/>
          <w:bCs/>
          <w:sz w:val="24"/>
          <w:szCs w:val="24"/>
          <w:u w:val="single"/>
          <w:lang w:eastAsia="en-ZA"/>
        </w:rPr>
        <w:t>HELD AT MBABANE</w:t>
      </w:r>
      <w:r w:rsidRPr="0035352F">
        <w:rPr>
          <w:rFonts w:ascii="Bookman Old Style" w:eastAsia="Times New Roman" w:hAnsi="Bookman Old Style" w:cs="Times New Roman"/>
          <w:b/>
          <w:bCs/>
          <w:sz w:val="24"/>
          <w:szCs w:val="24"/>
          <w:lang w:eastAsia="en-ZA"/>
        </w:rPr>
        <w:t xml:space="preserve">             </w:t>
      </w:r>
      <w:r>
        <w:rPr>
          <w:rFonts w:ascii="Bookman Old Style" w:eastAsia="Times New Roman" w:hAnsi="Bookman Old Style" w:cs="Times New Roman"/>
          <w:b/>
          <w:bCs/>
          <w:sz w:val="24"/>
          <w:szCs w:val="24"/>
          <w:lang w:eastAsia="en-ZA"/>
        </w:rPr>
        <w:t xml:space="preserve">                               </w:t>
      </w:r>
      <w:r w:rsidRPr="0035352F">
        <w:rPr>
          <w:rFonts w:ascii="Bookman Old Style" w:eastAsia="Times New Roman" w:hAnsi="Bookman Old Style" w:cs="Times New Roman"/>
          <w:b/>
          <w:bCs/>
          <w:sz w:val="24"/>
          <w:szCs w:val="24"/>
          <w:lang w:eastAsia="en-ZA"/>
        </w:rPr>
        <w:t xml:space="preserve"> </w:t>
      </w:r>
      <w:r w:rsidRPr="0035352F">
        <w:rPr>
          <w:rFonts w:ascii="Bookman Old Style" w:eastAsia="Times New Roman" w:hAnsi="Bookman Old Style" w:cs="Times New Roman"/>
          <w:b/>
          <w:bCs/>
          <w:sz w:val="24"/>
          <w:szCs w:val="24"/>
          <w:u w:val="single"/>
          <w:lang w:eastAsia="en-ZA"/>
        </w:rPr>
        <w:t>CIVIL CASE NO.</w:t>
      </w:r>
      <w:proofErr w:type="gramEnd"/>
      <w:r w:rsidRPr="0035352F">
        <w:rPr>
          <w:rFonts w:ascii="Bookman Old Style" w:eastAsia="Times New Roman" w:hAnsi="Bookman Old Style" w:cs="Times New Roman"/>
          <w:b/>
          <w:bCs/>
          <w:sz w:val="24"/>
          <w:szCs w:val="24"/>
          <w:u w:val="single"/>
          <w:lang w:eastAsia="en-ZA"/>
        </w:rPr>
        <w:t xml:space="preserve"> 61/09</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In the matter between</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b/>
          <w:bCs/>
          <w:sz w:val="24"/>
          <w:szCs w:val="24"/>
          <w:lang w:eastAsia="en-ZA"/>
        </w:rPr>
        <w:t>THE COMMISSIONER OF POLICE                          FIRST APPELLANT</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b/>
          <w:bCs/>
          <w:sz w:val="24"/>
          <w:szCs w:val="24"/>
          <w:lang w:eastAsia="en-ZA"/>
        </w:rPr>
        <w:t xml:space="preserve">THE ATTORNEY GENERAL      </w:t>
      </w:r>
      <w:r>
        <w:rPr>
          <w:rFonts w:ascii="Bookman Old Style" w:eastAsia="Times New Roman" w:hAnsi="Bookman Old Style" w:cs="Times New Roman"/>
          <w:b/>
          <w:bCs/>
          <w:sz w:val="24"/>
          <w:szCs w:val="24"/>
          <w:lang w:eastAsia="en-ZA"/>
        </w:rPr>
        <w:t xml:space="preserve">                              </w:t>
      </w:r>
      <w:r w:rsidRPr="0035352F">
        <w:rPr>
          <w:rFonts w:ascii="Bookman Old Style" w:eastAsia="Times New Roman" w:hAnsi="Bookman Old Style" w:cs="Times New Roman"/>
          <w:b/>
          <w:bCs/>
          <w:sz w:val="24"/>
          <w:szCs w:val="24"/>
          <w:lang w:eastAsia="en-ZA"/>
        </w:rPr>
        <w:t>SECOND APPELLANT</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b/>
          <w:bCs/>
          <w:sz w:val="24"/>
          <w:szCs w:val="24"/>
          <w:lang w:eastAsia="en-ZA"/>
        </w:rPr>
        <w:t>And</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b/>
          <w:bCs/>
          <w:sz w:val="24"/>
          <w:szCs w:val="24"/>
          <w:lang w:eastAsia="en-ZA"/>
        </w:rPr>
        <w:t>THE PESCO SERVICES (PTY) LTD                            RESPONDENT</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CORAM: RAMODIBEDI, CJ</w:t>
      </w:r>
      <w:bookmarkStart w:id="0" w:name="_GoBack"/>
      <w:bookmarkEnd w:id="0"/>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DR. TWUM, JA</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FARLAM, JA</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HEARD: 11 MAY 2010</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DELIVERED: 28 MAY 2010 </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u w:val="single"/>
          <w:lang w:eastAsia="en-ZA"/>
        </w:rPr>
        <w:t>SUMMARY</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t>Contract for services – Measure of damages – Principles involved – Plaintiff failing to prove what expenses it incurred and therefore what profit it made – Appeal upheld and absolution from the instance with costs ordered.</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JUDGMENT</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_____________________________________________________________</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b/>
          <w:bCs/>
          <w:sz w:val="24"/>
          <w:szCs w:val="24"/>
          <w:u w:val="single"/>
          <w:lang w:eastAsia="en-ZA"/>
        </w:rPr>
        <w:lastRenderedPageBreak/>
        <w:t>RAMODIBEDI, CJ</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[1] This appeal concerns a dispute for damages arising from</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sz w:val="24"/>
          <w:szCs w:val="24"/>
          <w:lang w:eastAsia="en-ZA"/>
        </w:rPr>
        <w:t>a</w:t>
      </w:r>
      <w:proofErr w:type="gramEnd"/>
      <w:r w:rsidRPr="0035352F">
        <w:rPr>
          <w:rFonts w:ascii="Bookman Old Style" w:eastAsia="Times New Roman" w:hAnsi="Bookman Old Style" w:cs="Times New Roman"/>
          <w:sz w:val="24"/>
          <w:szCs w:val="24"/>
          <w:lang w:eastAsia="en-ZA"/>
        </w:rPr>
        <w:t xml:space="preserve"> breach of contract to treat and fumigate termites and cockroaches at Matsapha Police College. For convenience, the parties will be referred to by their nomenclatures in the court below.</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[2] The plaintiff, a company duly incorporated according to the laws of Swaziland, issued summons against the defendants for payment of E1</w:t>
      </w:r>
      <w:proofErr w:type="gramStart"/>
      <w:r w:rsidRPr="0035352F">
        <w:rPr>
          <w:rFonts w:ascii="Bookman Old Style" w:eastAsia="Times New Roman" w:hAnsi="Bookman Old Style" w:cs="Times New Roman"/>
          <w:sz w:val="24"/>
          <w:szCs w:val="24"/>
          <w:lang w:eastAsia="en-ZA"/>
        </w:rPr>
        <w:t>,921</w:t>
      </w:r>
      <w:proofErr w:type="gramEnd"/>
      <w:r w:rsidRPr="0035352F">
        <w:rPr>
          <w:rFonts w:ascii="Bookman Old Style" w:eastAsia="Times New Roman" w:hAnsi="Bookman Old Style" w:cs="Times New Roman"/>
          <w:sz w:val="24"/>
          <w:szCs w:val="24"/>
          <w:lang w:eastAsia="en-ZA"/>
        </w:rPr>
        <w:t xml:space="preserve"> 000.00 plus 9% interest for alleged contractual damages.</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[3] In its particulars of claim the plaintiff alleged that on or about 1 May 2005 it entered into a written agreement with the first defendant. The express, material, alternatively, implied terms of the contract included the following:-</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 </w:t>
      </w:r>
      <w:proofErr w:type="gramStart"/>
      <w:r w:rsidRPr="0035352F">
        <w:rPr>
          <w:rFonts w:ascii="Bookman Old Style" w:eastAsia="Times New Roman" w:hAnsi="Bookman Old Style" w:cs="Times New Roman"/>
          <w:sz w:val="24"/>
          <w:szCs w:val="24"/>
          <w:lang w:eastAsia="en-ZA"/>
        </w:rPr>
        <w:t>that</w:t>
      </w:r>
      <w:proofErr w:type="gramEnd"/>
      <w:r w:rsidRPr="0035352F">
        <w:rPr>
          <w:rFonts w:ascii="Bookman Old Style" w:eastAsia="Times New Roman" w:hAnsi="Bookman Old Style" w:cs="Times New Roman"/>
          <w:sz w:val="24"/>
          <w:szCs w:val="24"/>
          <w:lang w:eastAsia="en-ZA"/>
        </w:rPr>
        <w:t xml:space="preserve"> the plaintiff agreed to treat and fumigate termites and cockroaches at Matsapha Police College;</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(2) </w:t>
      </w:r>
      <w:proofErr w:type="gramStart"/>
      <w:r w:rsidRPr="0035352F">
        <w:rPr>
          <w:rFonts w:ascii="Bookman Old Style" w:eastAsia="Times New Roman" w:hAnsi="Bookman Old Style" w:cs="Times New Roman"/>
          <w:sz w:val="24"/>
          <w:szCs w:val="24"/>
          <w:lang w:eastAsia="en-ZA"/>
        </w:rPr>
        <w:t>that</w:t>
      </w:r>
      <w:proofErr w:type="gramEnd"/>
      <w:r w:rsidRPr="0035352F">
        <w:rPr>
          <w:rFonts w:ascii="Bookman Old Style" w:eastAsia="Times New Roman" w:hAnsi="Bookman Old Style" w:cs="Times New Roman"/>
          <w:sz w:val="24"/>
          <w:szCs w:val="24"/>
          <w:lang w:eastAsia="en-ZA"/>
        </w:rPr>
        <w:t xml:space="preserve"> the first defendant agreed to pay E113,000.00</w:t>
      </w:r>
    </w:p>
    <w:p w:rsidR="0035352F" w:rsidRPr="0035352F" w:rsidRDefault="0035352F" w:rsidP="0035352F">
      <w:pPr>
        <w:spacing w:after="360" w:line="360" w:lineRule="auto"/>
        <w:ind w:left="108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sz w:val="24"/>
          <w:szCs w:val="24"/>
          <w:lang w:eastAsia="en-ZA"/>
        </w:rPr>
        <w:t>per</w:t>
      </w:r>
      <w:proofErr w:type="gramEnd"/>
      <w:r w:rsidRPr="0035352F">
        <w:rPr>
          <w:rFonts w:ascii="Bookman Old Style" w:eastAsia="Times New Roman" w:hAnsi="Bookman Old Style" w:cs="Times New Roman"/>
          <w:sz w:val="24"/>
          <w:szCs w:val="24"/>
          <w:lang w:eastAsia="en-ZA"/>
        </w:rPr>
        <w:t xml:space="preserve"> month for the services rendered and</w:t>
      </w:r>
    </w:p>
    <w:p w:rsidR="0035352F" w:rsidRPr="0035352F" w:rsidRDefault="0035352F" w:rsidP="0035352F">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that the contract was for a fixed term from May</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2005 to 31 December 2007.</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[4] The plaintiff further alleged in its particulars of claim that it fulfilled its obligations by treating and fumigating the termites and cockroaches from 1 May 2005.</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[5] The plaintiff alleged that in July 2006 the first defendant repudiated and/or breached the agreement by instructing it and/or its employees not to carry out their contractual duties. It further </w:t>
      </w:r>
      <w:r w:rsidRPr="0035352F">
        <w:rPr>
          <w:rFonts w:ascii="Bookman Old Style" w:eastAsia="Times New Roman" w:hAnsi="Bookman Old Style" w:cs="Times New Roman"/>
          <w:sz w:val="24"/>
          <w:szCs w:val="24"/>
          <w:lang w:eastAsia="en-ZA"/>
        </w:rPr>
        <w:lastRenderedPageBreak/>
        <w:t>alleged that the first defendant did this without furnishing it with any reason. Hence it alleged that as a result of this breach it suffered contractual damages calculated from July 2006 to December 2007 in the sum of E1,921 000.00 which the defendants were refusing to pay, notwithstanding demand.</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[6] The High Court (Agyemang J) granted the whole claim with costs as prayed. The court described the sum of E1, 921 000.00 thus granted as representing the contract sum for the unexpired term of the contract. The appellants have appealed to this Court against the correctness of that order.</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[7] In order to appreciate the real issues which arise for determination in this appeal it is necessary to have regard to the pleadings, even if briefly. In paragraph 6 of their plea the defendants denied the contents of paragraph 7 of the plaintiff ’s particulars of claim in which it alleged that it had suffered damages in the amount of E1,921 000.00. Crucially, they further pleaded that the plaintiff was “placed to strict proof” of its damages. They also averred in paragraph 7 of their plea that payment in an amount of E950</w:t>
      </w:r>
      <w:proofErr w:type="gramStart"/>
      <w:r w:rsidRPr="0035352F">
        <w:rPr>
          <w:rFonts w:ascii="Bookman Old Style" w:eastAsia="Times New Roman" w:hAnsi="Bookman Old Style" w:cs="Times New Roman"/>
          <w:sz w:val="24"/>
          <w:szCs w:val="24"/>
          <w:lang w:eastAsia="en-ZA"/>
        </w:rPr>
        <w:t>,000.00</w:t>
      </w:r>
      <w:proofErr w:type="gramEnd"/>
      <w:r w:rsidRPr="0035352F">
        <w:rPr>
          <w:rFonts w:ascii="Bookman Old Style" w:eastAsia="Times New Roman" w:hAnsi="Bookman Old Style" w:cs="Times New Roman"/>
          <w:sz w:val="24"/>
          <w:szCs w:val="24"/>
          <w:lang w:eastAsia="en-ZA"/>
        </w:rPr>
        <w:t xml:space="preserve"> had been made to the plaintiff in full and final settlement of the matter. The court </w:t>
      </w:r>
      <w:r w:rsidRPr="0035352F">
        <w:rPr>
          <w:rFonts w:ascii="Bookman Old Style" w:eastAsia="Times New Roman" w:hAnsi="Bookman Old Style" w:cs="Times New Roman"/>
          <w:i/>
          <w:iCs/>
          <w:sz w:val="24"/>
          <w:szCs w:val="24"/>
          <w:lang w:eastAsia="en-ZA"/>
        </w:rPr>
        <w:t xml:space="preserve">a quo, </w:t>
      </w:r>
      <w:r w:rsidRPr="0035352F">
        <w:rPr>
          <w:rFonts w:ascii="Bookman Old Style" w:eastAsia="Times New Roman" w:hAnsi="Bookman Old Style" w:cs="Times New Roman"/>
          <w:sz w:val="24"/>
          <w:szCs w:val="24"/>
          <w:lang w:eastAsia="en-ZA"/>
        </w:rPr>
        <w:t xml:space="preserve">however, came to the conclusion that such payment was for services rendered. That finding is indeed supported by the deed of settlement between the parties. The deed refers to “services rendered”. Obviously this can only mean the services rendered before the repudiation of the agreement between the parties. In any event there is no challenge to the court </w:t>
      </w:r>
      <w:r w:rsidRPr="0035352F">
        <w:rPr>
          <w:rFonts w:ascii="Bookman Old Style" w:eastAsia="Times New Roman" w:hAnsi="Bookman Old Style" w:cs="Times New Roman"/>
          <w:i/>
          <w:iCs/>
          <w:sz w:val="24"/>
          <w:szCs w:val="24"/>
          <w:lang w:eastAsia="en-ZA"/>
        </w:rPr>
        <w:t xml:space="preserve">a quo’s </w:t>
      </w:r>
      <w:r w:rsidRPr="0035352F">
        <w:rPr>
          <w:rFonts w:ascii="Bookman Old Style" w:eastAsia="Times New Roman" w:hAnsi="Bookman Old Style" w:cs="Times New Roman"/>
          <w:sz w:val="24"/>
          <w:szCs w:val="24"/>
          <w:lang w:eastAsia="en-ZA"/>
        </w:rPr>
        <w:t>finding that the payment in question was for services rendered. There is, therefore, no need to debate the point any further.</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[8] What is of more importance insofar as this appeal is concerned is the fact that in the minutes of the pre-trial conference the defendants </w:t>
      </w:r>
      <w:r w:rsidRPr="0035352F">
        <w:rPr>
          <w:rFonts w:ascii="Bookman Old Style" w:eastAsia="Times New Roman" w:hAnsi="Bookman Old Style" w:cs="Times New Roman"/>
          <w:sz w:val="24"/>
          <w:szCs w:val="24"/>
          <w:lang w:eastAsia="en-ZA"/>
        </w:rPr>
        <w:lastRenderedPageBreak/>
        <w:t>specifically challenged the plaintiff to prove the damages sought. The issue for determination in this regard was recorded as follows:-</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t>“ 7.Therefore</w:t>
      </w:r>
      <w:proofErr w:type="gramEnd"/>
      <w:r w:rsidRPr="0035352F">
        <w:rPr>
          <w:rFonts w:ascii="Bookman Old Style" w:eastAsia="Times New Roman" w:hAnsi="Bookman Old Style" w:cs="Times New Roman"/>
          <w:i/>
          <w:iCs/>
          <w:sz w:val="24"/>
          <w:szCs w:val="24"/>
          <w:lang w:eastAsia="en-ZA"/>
        </w:rPr>
        <w:t xml:space="preserve">, if the plaintiff still insists that the matter was settled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t>in</w:t>
      </w:r>
      <w:proofErr w:type="gramEnd"/>
      <w:r w:rsidRPr="0035352F">
        <w:rPr>
          <w:rFonts w:ascii="Bookman Old Style" w:eastAsia="Times New Roman" w:hAnsi="Bookman Old Style" w:cs="Times New Roman"/>
          <w:i/>
          <w:iCs/>
          <w:sz w:val="24"/>
          <w:szCs w:val="24"/>
          <w:lang w:eastAsia="en-ZA"/>
        </w:rPr>
        <w:t xml:space="preserve"> full and final settlement, it will have to prove the damages during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t>the</w:t>
      </w:r>
      <w:proofErr w:type="gramEnd"/>
      <w:r w:rsidRPr="0035352F">
        <w:rPr>
          <w:rFonts w:ascii="Bookman Old Style" w:eastAsia="Times New Roman" w:hAnsi="Bookman Old Style" w:cs="Times New Roman"/>
          <w:i/>
          <w:iCs/>
          <w:sz w:val="24"/>
          <w:szCs w:val="24"/>
          <w:lang w:eastAsia="en-ZA"/>
        </w:rPr>
        <w:t xml:space="preserve"> trial.” </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[9] At the trial the plaintiff led two witnesses in support of its claim. These were </w:t>
      </w:r>
      <w:proofErr w:type="spellStart"/>
      <w:r w:rsidRPr="0035352F">
        <w:rPr>
          <w:rFonts w:ascii="Bookman Old Style" w:eastAsia="Times New Roman" w:hAnsi="Bookman Old Style" w:cs="Times New Roman"/>
          <w:sz w:val="24"/>
          <w:szCs w:val="24"/>
          <w:lang w:eastAsia="en-ZA"/>
        </w:rPr>
        <w:t>Nontokozo</w:t>
      </w:r>
      <w:proofErr w:type="spellEnd"/>
      <w:r w:rsidRPr="0035352F">
        <w:rPr>
          <w:rFonts w:ascii="Bookman Old Style" w:eastAsia="Times New Roman" w:hAnsi="Bookman Old Style" w:cs="Times New Roman"/>
          <w:sz w:val="24"/>
          <w:szCs w:val="24"/>
          <w:lang w:eastAsia="en-ZA"/>
        </w:rPr>
        <w:t xml:space="preserve"> </w:t>
      </w:r>
      <w:proofErr w:type="spellStart"/>
      <w:r w:rsidRPr="0035352F">
        <w:rPr>
          <w:rFonts w:ascii="Bookman Old Style" w:eastAsia="Times New Roman" w:hAnsi="Bookman Old Style" w:cs="Times New Roman"/>
          <w:sz w:val="24"/>
          <w:szCs w:val="24"/>
          <w:lang w:eastAsia="en-ZA"/>
        </w:rPr>
        <w:t>Ashers</w:t>
      </w:r>
      <w:proofErr w:type="spellEnd"/>
      <w:r w:rsidRPr="0035352F">
        <w:rPr>
          <w:rFonts w:ascii="Bookman Old Style" w:eastAsia="Times New Roman" w:hAnsi="Bookman Old Style" w:cs="Times New Roman"/>
          <w:sz w:val="24"/>
          <w:szCs w:val="24"/>
          <w:lang w:eastAsia="en-ZA"/>
        </w:rPr>
        <w:t xml:space="preserve"> Vilakati (PW1) and her husband Joseph Simon </w:t>
      </w:r>
      <w:proofErr w:type="spellStart"/>
      <w:r w:rsidRPr="0035352F">
        <w:rPr>
          <w:rFonts w:ascii="Bookman Old Style" w:eastAsia="Times New Roman" w:hAnsi="Bookman Old Style" w:cs="Times New Roman"/>
          <w:sz w:val="24"/>
          <w:szCs w:val="24"/>
          <w:lang w:eastAsia="en-ZA"/>
        </w:rPr>
        <w:t>Ashers</w:t>
      </w:r>
      <w:proofErr w:type="spellEnd"/>
      <w:r w:rsidRPr="0035352F">
        <w:rPr>
          <w:rFonts w:ascii="Bookman Old Style" w:eastAsia="Times New Roman" w:hAnsi="Bookman Old Style" w:cs="Times New Roman"/>
          <w:sz w:val="24"/>
          <w:szCs w:val="24"/>
          <w:lang w:eastAsia="en-ZA"/>
        </w:rPr>
        <w:t xml:space="preserve"> (PW2) respectively. They were both shareholders and directors in the plaintiff company. They testified that the first defendant breached the agreement between the parties in July 2006 by instructing the plaintiff not to proceed with its contractual obligations due to lack of funds. At that stage the agreement still had 17 months to run until 31 December 2007. Hence the plaintiff claimed the sum of E1</w:t>
      </w:r>
      <w:proofErr w:type="gramStart"/>
      <w:r w:rsidRPr="0035352F">
        <w:rPr>
          <w:rFonts w:ascii="Bookman Old Style" w:eastAsia="Times New Roman" w:hAnsi="Bookman Old Style" w:cs="Times New Roman"/>
          <w:sz w:val="24"/>
          <w:szCs w:val="24"/>
          <w:lang w:eastAsia="en-ZA"/>
        </w:rPr>
        <w:t>,921</w:t>
      </w:r>
      <w:proofErr w:type="gramEnd"/>
      <w:r w:rsidRPr="0035352F">
        <w:rPr>
          <w:rFonts w:ascii="Bookman Old Style" w:eastAsia="Times New Roman" w:hAnsi="Bookman Old Style" w:cs="Times New Roman"/>
          <w:sz w:val="24"/>
          <w:szCs w:val="24"/>
          <w:lang w:eastAsia="en-ZA"/>
        </w:rPr>
        <w:t xml:space="preserve"> 000.00 for this unexpired period of the contract.</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[10] The </w:t>
      </w:r>
      <w:proofErr w:type="gramStart"/>
      <w:r w:rsidRPr="0035352F">
        <w:rPr>
          <w:rFonts w:ascii="Bookman Old Style" w:eastAsia="Times New Roman" w:hAnsi="Bookman Old Style" w:cs="Times New Roman"/>
          <w:sz w:val="24"/>
          <w:szCs w:val="24"/>
          <w:lang w:eastAsia="en-ZA"/>
        </w:rPr>
        <w:t>plaintiff ’s</w:t>
      </w:r>
      <w:proofErr w:type="gramEnd"/>
      <w:r w:rsidRPr="0035352F">
        <w:rPr>
          <w:rFonts w:ascii="Bookman Old Style" w:eastAsia="Times New Roman" w:hAnsi="Bookman Old Style" w:cs="Times New Roman"/>
          <w:sz w:val="24"/>
          <w:szCs w:val="24"/>
          <w:lang w:eastAsia="en-ZA"/>
        </w:rPr>
        <w:t xml:space="preserve"> witnesses testified that the plaintiff could not secure comparable jobs at the material time between July 2006 and December 2007. As a result it had to lay off its workers thus leading up to the demise of the company.</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[11] Now, the general rule is that when a contract is repudiated the injured party should, so far as that can be done by the payment of money, be placed in the same position he would have occupied if the contract had been performed. An important qualification to this rule is that the defaulting party is only liable for damages which may fairly be considered to have been within the contemplation of the parties. See for example </w:t>
      </w:r>
      <w:r w:rsidRPr="0035352F">
        <w:rPr>
          <w:rFonts w:ascii="Bookman Old Style" w:eastAsia="Times New Roman" w:hAnsi="Bookman Old Style" w:cs="Times New Roman"/>
          <w:b/>
          <w:bCs/>
          <w:sz w:val="24"/>
          <w:szCs w:val="24"/>
          <w:u w:val="single"/>
          <w:lang w:eastAsia="en-ZA"/>
        </w:rPr>
        <w:t xml:space="preserve">Victoria Falls &amp; Transvaal Power Co., Ltd V Consolidated </w:t>
      </w:r>
      <w:proofErr w:type="spellStart"/>
      <w:r w:rsidRPr="0035352F">
        <w:rPr>
          <w:rFonts w:ascii="Bookman Old Style" w:eastAsia="Times New Roman" w:hAnsi="Bookman Old Style" w:cs="Times New Roman"/>
          <w:b/>
          <w:bCs/>
          <w:sz w:val="24"/>
          <w:szCs w:val="24"/>
          <w:u w:val="single"/>
          <w:lang w:eastAsia="en-ZA"/>
        </w:rPr>
        <w:t>Langlaagte</w:t>
      </w:r>
      <w:proofErr w:type="spellEnd"/>
      <w:r w:rsidRPr="0035352F">
        <w:rPr>
          <w:rFonts w:ascii="Bookman Old Style" w:eastAsia="Times New Roman" w:hAnsi="Bookman Old Style" w:cs="Times New Roman"/>
          <w:b/>
          <w:bCs/>
          <w:sz w:val="24"/>
          <w:szCs w:val="24"/>
          <w:u w:val="single"/>
          <w:lang w:eastAsia="en-ZA"/>
        </w:rPr>
        <w:t xml:space="preserve"> Mines 1915 AD 1. </w:t>
      </w:r>
      <w:r w:rsidRPr="0035352F">
        <w:rPr>
          <w:rFonts w:ascii="Bookman Old Style" w:eastAsia="Times New Roman" w:hAnsi="Bookman Old Style" w:cs="Times New Roman"/>
          <w:sz w:val="24"/>
          <w:szCs w:val="24"/>
          <w:lang w:eastAsia="en-ZA"/>
        </w:rPr>
        <w:t xml:space="preserve">Similarly, it is trite that </w:t>
      </w:r>
      <w:r w:rsidRPr="0035352F">
        <w:rPr>
          <w:rFonts w:ascii="Bookman Old Style" w:eastAsia="Times New Roman" w:hAnsi="Bookman Old Style" w:cs="Times New Roman"/>
          <w:sz w:val="24"/>
          <w:szCs w:val="24"/>
          <w:lang w:eastAsia="en-ZA"/>
        </w:rPr>
        <w:lastRenderedPageBreak/>
        <w:t>the injured party has the right of election whether to hold the defaulting party to his contract or to claim damages for the breach.</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[12] In a well presented argument </w:t>
      </w:r>
      <w:r w:rsidRPr="0035352F">
        <w:rPr>
          <w:rFonts w:ascii="Bookman Old Style" w:eastAsia="Times New Roman" w:hAnsi="Bookman Old Style" w:cs="Times New Roman"/>
          <w:sz w:val="24"/>
          <w:szCs w:val="24"/>
          <w:u w:val="single"/>
          <w:lang w:eastAsia="en-ZA"/>
        </w:rPr>
        <w:t xml:space="preserve">Mr. Magagula </w:t>
      </w:r>
      <w:r w:rsidRPr="0035352F">
        <w:rPr>
          <w:rFonts w:ascii="Bookman Old Style" w:eastAsia="Times New Roman" w:hAnsi="Bookman Old Style" w:cs="Times New Roman"/>
          <w:sz w:val="24"/>
          <w:szCs w:val="24"/>
          <w:lang w:eastAsia="en-ZA"/>
        </w:rPr>
        <w:t xml:space="preserve">for the first defendant correctly submitted, in my </w:t>
      </w:r>
      <w:proofErr w:type="gramStart"/>
      <w:r w:rsidRPr="0035352F">
        <w:rPr>
          <w:rFonts w:ascii="Bookman Old Style" w:eastAsia="Times New Roman" w:hAnsi="Bookman Old Style" w:cs="Times New Roman"/>
          <w:sz w:val="24"/>
          <w:szCs w:val="24"/>
          <w:lang w:eastAsia="en-ZA"/>
        </w:rPr>
        <w:t>view, that</w:t>
      </w:r>
      <w:proofErr w:type="gramEnd"/>
      <w:r w:rsidRPr="0035352F">
        <w:rPr>
          <w:rFonts w:ascii="Bookman Old Style" w:eastAsia="Times New Roman" w:hAnsi="Bookman Old Style" w:cs="Times New Roman"/>
          <w:sz w:val="24"/>
          <w:szCs w:val="24"/>
          <w:lang w:eastAsia="en-ZA"/>
        </w:rPr>
        <w:t xml:space="preserve"> the plaintiff is entitled to claim for loss of profits. The </w:t>
      </w:r>
      <w:proofErr w:type="spellStart"/>
      <w:r w:rsidRPr="0035352F">
        <w:rPr>
          <w:rFonts w:ascii="Bookman Old Style" w:eastAsia="Times New Roman" w:hAnsi="Bookman Old Style" w:cs="Times New Roman"/>
          <w:sz w:val="24"/>
          <w:szCs w:val="24"/>
          <w:lang w:eastAsia="en-ZA"/>
        </w:rPr>
        <w:t>highwater</w:t>
      </w:r>
      <w:proofErr w:type="spellEnd"/>
      <w:r w:rsidRPr="0035352F">
        <w:rPr>
          <w:rFonts w:ascii="Bookman Old Style" w:eastAsia="Times New Roman" w:hAnsi="Bookman Old Style" w:cs="Times New Roman"/>
          <w:sz w:val="24"/>
          <w:szCs w:val="24"/>
          <w:lang w:eastAsia="en-ZA"/>
        </w:rPr>
        <w:t xml:space="preserve"> mark of his submission, however, was that the plaintiff failed to prove its profits. It simply proceeded on the basis that the agreed monthly figure payable was E113</w:t>
      </w:r>
      <w:proofErr w:type="gramStart"/>
      <w:r w:rsidRPr="0035352F">
        <w:rPr>
          <w:rFonts w:ascii="Bookman Old Style" w:eastAsia="Times New Roman" w:hAnsi="Bookman Old Style" w:cs="Times New Roman"/>
          <w:sz w:val="24"/>
          <w:szCs w:val="24"/>
          <w:lang w:eastAsia="en-ZA"/>
        </w:rPr>
        <w:t>,000.00</w:t>
      </w:r>
      <w:proofErr w:type="gramEnd"/>
      <w:r w:rsidRPr="0035352F">
        <w:rPr>
          <w:rFonts w:ascii="Bookman Old Style" w:eastAsia="Times New Roman" w:hAnsi="Bookman Old Style" w:cs="Times New Roman"/>
          <w:sz w:val="24"/>
          <w:szCs w:val="24"/>
          <w:lang w:eastAsia="en-ZA"/>
        </w:rPr>
        <w:t xml:space="preserve"> for services rendered. But there was no evidence to show how much of this figure went to expenses and how much </w:t>
      </w:r>
      <w:proofErr w:type="gramStart"/>
      <w:r w:rsidRPr="0035352F">
        <w:rPr>
          <w:rFonts w:ascii="Bookman Old Style" w:eastAsia="Times New Roman" w:hAnsi="Bookman Old Style" w:cs="Times New Roman"/>
          <w:sz w:val="24"/>
          <w:szCs w:val="24"/>
          <w:lang w:eastAsia="en-ZA"/>
        </w:rPr>
        <w:t>constituted profits</w:t>
      </w:r>
      <w:proofErr w:type="gramEnd"/>
      <w:r w:rsidRPr="0035352F">
        <w:rPr>
          <w:rFonts w:ascii="Bookman Old Style" w:eastAsia="Times New Roman" w:hAnsi="Bookman Old Style" w:cs="Times New Roman"/>
          <w:sz w:val="24"/>
          <w:szCs w:val="24"/>
          <w:lang w:eastAsia="en-ZA"/>
        </w:rPr>
        <w:t>.</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[13] In an equally able argument </w:t>
      </w:r>
      <w:r w:rsidRPr="0035352F">
        <w:rPr>
          <w:rFonts w:ascii="Bookman Old Style" w:eastAsia="Times New Roman" w:hAnsi="Bookman Old Style" w:cs="Times New Roman"/>
          <w:sz w:val="24"/>
          <w:szCs w:val="24"/>
          <w:u w:val="single"/>
          <w:lang w:eastAsia="en-ZA"/>
        </w:rPr>
        <w:t xml:space="preserve">Mr. Motsa </w:t>
      </w:r>
      <w:r w:rsidRPr="0035352F">
        <w:rPr>
          <w:rFonts w:ascii="Bookman Old Style" w:eastAsia="Times New Roman" w:hAnsi="Bookman Old Style" w:cs="Times New Roman"/>
          <w:sz w:val="24"/>
          <w:szCs w:val="24"/>
          <w:lang w:eastAsia="en-ZA"/>
        </w:rPr>
        <w:t xml:space="preserve">for the plaintiff on the other hand submitted that the plaintiff is entitled to the full measure of damages, being the balance of the contract in question. Counsel sought to rely on such cases as </w:t>
      </w:r>
      <w:r w:rsidRPr="0035352F">
        <w:rPr>
          <w:rFonts w:ascii="Bookman Old Style" w:eastAsia="Times New Roman" w:hAnsi="Bookman Old Style" w:cs="Times New Roman"/>
          <w:b/>
          <w:bCs/>
          <w:sz w:val="24"/>
          <w:szCs w:val="24"/>
          <w:u w:val="single"/>
          <w:lang w:eastAsia="en-ZA"/>
        </w:rPr>
        <w:t xml:space="preserve">Myers V Abramson 1952 (3) S.A. 121 (C); </w:t>
      </w:r>
      <w:proofErr w:type="spellStart"/>
      <w:r w:rsidRPr="0035352F">
        <w:rPr>
          <w:rFonts w:ascii="Bookman Old Style" w:eastAsia="Times New Roman" w:hAnsi="Bookman Old Style" w:cs="Times New Roman"/>
          <w:b/>
          <w:bCs/>
          <w:sz w:val="24"/>
          <w:szCs w:val="24"/>
          <w:u w:val="single"/>
          <w:lang w:eastAsia="en-ZA"/>
        </w:rPr>
        <w:t>Masetlha</w:t>
      </w:r>
      <w:proofErr w:type="spellEnd"/>
      <w:r w:rsidRPr="0035352F">
        <w:rPr>
          <w:rFonts w:ascii="Bookman Old Style" w:eastAsia="Times New Roman" w:hAnsi="Bookman Old Style" w:cs="Times New Roman"/>
          <w:b/>
          <w:bCs/>
          <w:sz w:val="24"/>
          <w:szCs w:val="24"/>
          <w:u w:val="single"/>
          <w:lang w:eastAsia="en-ZA"/>
        </w:rPr>
        <w:t xml:space="preserve"> V President of the Republic of South Africa And Another 2008 (1) S.A. 566 (CC)</w:t>
      </w:r>
      <w:r w:rsidRPr="0035352F">
        <w:rPr>
          <w:rFonts w:ascii="Bookman Old Style" w:eastAsia="Times New Roman" w:hAnsi="Bookman Old Style" w:cs="Times New Roman"/>
          <w:sz w:val="24"/>
          <w:szCs w:val="24"/>
          <w:lang w:eastAsia="en-ZA"/>
        </w:rPr>
        <w:t xml:space="preserve"> and </w:t>
      </w:r>
      <w:r w:rsidRPr="0035352F">
        <w:rPr>
          <w:rFonts w:ascii="Bookman Old Style" w:eastAsia="Times New Roman" w:hAnsi="Bookman Old Style" w:cs="Times New Roman"/>
          <w:b/>
          <w:bCs/>
          <w:sz w:val="24"/>
          <w:szCs w:val="24"/>
          <w:u w:val="single"/>
          <w:lang w:eastAsia="en-ZA"/>
        </w:rPr>
        <w:t xml:space="preserve">Western Credit Bank Ltd V </w:t>
      </w:r>
      <w:proofErr w:type="spellStart"/>
      <w:r w:rsidRPr="0035352F">
        <w:rPr>
          <w:rFonts w:ascii="Bookman Old Style" w:eastAsia="Times New Roman" w:hAnsi="Bookman Old Style" w:cs="Times New Roman"/>
          <w:b/>
          <w:bCs/>
          <w:sz w:val="24"/>
          <w:szCs w:val="24"/>
          <w:u w:val="single"/>
          <w:lang w:eastAsia="en-ZA"/>
        </w:rPr>
        <w:t>Kajee</w:t>
      </w:r>
      <w:proofErr w:type="spellEnd"/>
      <w:r w:rsidRPr="0035352F">
        <w:rPr>
          <w:rFonts w:ascii="Bookman Old Style" w:eastAsia="Times New Roman" w:hAnsi="Bookman Old Style" w:cs="Times New Roman"/>
          <w:b/>
          <w:bCs/>
          <w:sz w:val="24"/>
          <w:szCs w:val="24"/>
          <w:u w:val="single"/>
          <w:lang w:eastAsia="en-ZA"/>
        </w:rPr>
        <w:t xml:space="preserve"> 1967 (4) 386 (N). </w:t>
      </w:r>
      <w:r w:rsidRPr="0035352F">
        <w:rPr>
          <w:rFonts w:ascii="Bookman Old Style" w:eastAsia="Times New Roman" w:hAnsi="Bookman Old Style" w:cs="Times New Roman"/>
          <w:sz w:val="24"/>
          <w:szCs w:val="24"/>
          <w:lang w:eastAsia="en-ZA"/>
        </w:rPr>
        <w:t xml:space="preserve">These cases do not assist the plaintiff. There were no expenses involved in each case. Indeed the first two cases dealt with contracts of employment for personal service. As can be seen, here we have a contract to render services involving, as it does, expenses. Similarly, </w:t>
      </w:r>
      <w:r w:rsidRPr="0035352F">
        <w:rPr>
          <w:rFonts w:ascii="Bookman Old Style" w:eastAsia="Times New Roman" w:hAnsi="Bookman Old Style" w:cs="Times New Roman"/>
          <w:b/>
          <w:bCs/>
          <w:sz w:val="24"/>
          <w:szCs w:val="24"/>
          <w:u w:val="single"/>
          <w:lang w:eastAsia="en-ZA"/>
        </w:rPr>
        <w:t xml:space="preserve">The Western Credit Bank Ltd </w:t>
      </w:r>
      <w:r w:rsidRPr="0035352F">
        <w:rPr>
          <w:rFonts w:ascii="Bookman Old Style" w:eastAsia="Times New Roman" w:hAnsi="Bookman Old Style" w:cs="Times New Roman"/>
          <w:sz w:val="24"/>
          <w:szCs w:val="24"/>
          <w:lang w:eastAsia="en-ZA"/>
        </w:rPr>
        <w:t xml:space="preserve">case concerned leasing of </w:t>
      </w:r>
      <w:proofErr w:type="spellStart"/>
      <w:r w:rsidRPr="0035352F">
        <w:rPr>
          <w:rFonts w:ascii="Bookman Old Style" w:eastAsia="Times New Roman" w:hAnsi="Bookman Old Style" w:cs="Times New Roman"/>
          <w:sz w:val="24"/>
          <w:szCs w:val="24"/>
          <w:lang w:eastAsia="en-ZA"/>
        </w:rPr>
        <w:t>immovables</w:t>
      </w:r>
      <w:proofErr w:type="spellEnd"/>
      <w:r w:rsidRPr="0035352F">
        <w:rPr>
          <w:rFonts w:ascii="Bookman Old Style" w:eastAsia="Times New Roman" w:hAnsi="Bookman Old Style" w:cs="Times New Roman"/>
          <w:sz w:val="24"/>
          <w:szCs w:val="24"/>
          <w:lang w:eastAsia="en-ZA"/>
        </w:rPr>
        <w:t>. It, too, did not involve expenses.</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[14] </w:t>
      </w:r>
      <w:r w:rsidRPr="0035352F">
        <w:rPr>
          <w:rFonts w:ascii="Bookman Old Style" w:eastAsia="Times New Roman" w:hAnsi="Bookman Old Style" w:cs="Times New Roman"/>
          <w:sz w:val="24"/>
          <w:szCs w:val="24"/>
          <w:u w:val="single"/>
          <w:lang w:eastAsia="en-ZA"/>
        </w:rPr>
        <w:t xml:space="preserve">Mr. Motsa </w:t>
      </w:r>
      <w:r w:rsidRPr="0035352F">
        <w:rPr>
          <w:rFonts w:ascii="Bookman Old Style" w:eastAsia="Times New Roman" w:hAnsi="Bookman Old Style" w:cs="Times New Roman"/>
          <w:sz w:val="24"/>
          <w:szCs w:val="24"/>
          <w:lang w:eastAsia="en-ZA"/>
        </w:rPr>
        <w:t xml:space="preserve">further sought to rely on </w:t>
      </w:r>
      <w:r w:rsidRPr="0035352F">
        <w:rPr>
          <w:rFonts w:ascii="Bookman Old Style" w:eastAsia="Times New Roman" w:hAnsi="Bookman Old Style" w:cs="Times New Roman"/>
          <w:b/>
          <w:bCs/>
          <w:sz w:val="24"/>
          <w:szCs w:val="24"/>
          <w:u w:val="single"/>
          <w:lang w:eastAsia="en-ZA"/>
        </w:rPr>
        <w:t xml:space="preserve">Deloitte Haskins &amp; Sells Consultants (Pty) Ltd V </w:t>
      </w:r>
      <w:proofErr w:type="spellStart"/>
      <w:r w:rsidRPr="0035352F">
        <w:rPr>
          <w:rFonts w:ascii="Bookman Old Style" w:eastAsia="Times New Roman" w:hAnsi="Bookman Old Style" w:cs="Times New Roman"/>
          <w:b/>
          <w:bCs/>
          <w:sz w:val="24"/>
          <w:szCs w:val="24"/>
          <w:u w:val="single"/>
          <w:lang w:eastAsia="en-ZA"/>
        </w:rPr>
        <w:t>Bowthorpe</w:t>
      </w:r>
      <w:proofErr w:type="spellEnd"/>
      <w:r w:rsidRPr="0035352F">
        <w:rPr>
          <w:rFonts w:ascii="Bookman Old Style" w:eastAsia="Times New Roman" w:hAnsi="Bookman Old Style" w:cs="Times New Roman"/>
          <w:b/>
          <w:bCs/>
          <w:sz w:val="24"/>
          <w:szCs w:val="24"/>
          <w:u w:val="single"/>
          <w:lang w:eastAsia="en-ZA"/>
        </w:rPr>
        <w:t xml:space="preserve"> </w:t>
      </w:r>
      <w:proofErr w:type="spellStart"/>
      <w:r w:rsidRPr="0035352F">
        <w:rPr>
          <w:rFonts w:ascii="Bookman Old Style" w:eastAsia="Times New Roman" w:hAnsi="Bookman Old Style" w:cs="Times New Roman"/>
          <w:b/>
          <w:bCs/>
          <w:sz w:val="24"/>
          <w:szCs w:val="24"/>
          <w:u w:val="single"/>
          <w:lang w:eastAsia="en-ZA"/>
        </w:rPr>
        <w:t>Hellerman</w:t>
      </w:r>
      <w:proofErr w:type="spellEnd"/>
      <w:r w:rsidRPr="0035352F">
        <w:rPr>
          <w:rFonts w:ascii="Bookman Old Style" w:eastAsia="Times New Roman" w:hAnsi="Bookman Old Style" w:cs="Times New Roman"/>
          <w:b/>
          <w:bCs/>
          <w:sz w:val="24"/>
          <w:szCs w:val="24"/>
          <w:u w:val="single"/>
          <w:lang w:eastAsia="en-ZA"/>
        </w:rPr>
        <w:t xml:space="preserve"> Deutsch (Pty) Ltd 1991 (1) S.A. 525 (A) </w:t>
      </w:r>
      <w:r w:rsidRPr="0035352F">
        <w:rPr>
          <w:rFonts w:ascii="Bookman Old Style" w:eastAsia="Times New Roman" w:hAnsi="Bookman Old Style" w:cs="Times New Roman"/>
          <w:sz w:val="24"/>
          <w:szCs w:val="24"/>
          <w:lang w:eastAsia="en-ZA"/>
        </w:rPr>
        <w:t xml:space="preserve">for the proposition that in an exceptional case it is permissible to depart from the normal principle that the injured party must prove loss of profit. I am not persuaded that this is such a case. Crucially, the Appellate Division in </w:t>
      </w:r>
      <w:r w:rsidRPr="0035352F">
        <w:rPr>
          <w:rFonts w:ascii="Bookman Old Style" w:eastAsia="Times New Roman" w:hAnsi="Bookman Old Style" w:cs="Times New Roman"/>
          <w:b/>
          <w:bCs/>
          <w:sz w:val="24"/>
          <w:szCs w:val="24"/>
          <w:u w:val="single"/>
          <w:lang w:eastAsia="en-ZA"/>
        </w:rPr>
        <w:t xml:space="preserve">Deloitte’s </w:t>
      </w:r>
      <w:r w:rsidRPr="0035352F">
        <w:rPr>
          <w:rFonts w:ascii="Bookman Old Style" w:eastAsia="Times New Roman" w:hAnsi="Bookman Old Style" w:cs="Times New Roman"/>
          <w:sz w:val="24"/>
          <w:szCs w:val="24"/>
          <w:lang w:eastAsia="en-ZA"/>
        </w:rPr>
        <w:t xml:space="preserve">case specifically held at page 532 F – G of its judgment that the </w:t>
      </w:r>
      <w:proofErr w:type="gramStart"/>
      <w:r w:rsidRPr="0035352F">
        <w:rPr>
          <w:rFonts w:ascii="Bookman Old Style" w:eastAsia="Times New Roman" w:hAnsi="Bookman Old Style" w:cs="Times New Roman"/>
          <w:sz w:val="24"/>
          <w:szCs w:val="24"/>
          <w:lang w:eastAsia="en-ZA"/>
        </w:rPr>
        <w:t>plaintiff ’s</w:t>
      </w:r>
      <w:proofErr w:type="gramEnd"/>
      <w:r w:rsidRPr="0035352F">
        <w:rPr>
          <w:rFonts w:ascii="Bookman Old Style" w:eastAsia="Times New Roman" w:hAnsi="Bookman Old Style" w:cs="Times New Roman"/>
          <w:sz w:val="24"/>
          <w:szCs w:val="24"/>
          <w:lang w:eastAsia="en-ZA"/>
        </w:rPr>
        <w:t xml:space="preserve"> claim was founded solely on clause 15 of the agreement between the parties and </w:t>
      </w:r>
      <w:r w:rsidRPr="0035352F">
        <w:rPr>
          <w:rFonts w:ascii="Bookman Old Style" w:eastAsia="Times New Roman" w:hAnsi="Bookman Old Style" w:cs="Times New Roman"/>
          <w:sz w:val="24"/>
          <w:szCs w:val="24"/>
          <w:lang w:eastAsia="en-ZA"/>
        </w:rPr>
        <w:lastRenderedPageBreak/>
        <w:t>not on liability arising by operation of law. It follows that the case in question is distinguishable from the instant matter.</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[15] Finally, </w:t>
      </w:r>
      <w:r w:rsidRPr="0035352F">
        <w:rPr>
          <w:rFonts w:ascii="Bookman Old Style" w:eastAsia="Times New Roman" w:hAnsi="Bookman Old Style" w:cs="Times New Roman"/>
          <w:sz w:val="24"/>
          <w:szCs w:val="24"/>
          <w:u w:val="single"/>
          <w:lang w:eastAsia="en-ZA"/>
        </w:rPr>
        <w:t>Mr. Motsa</w:t>
      </w:r>
      <w:r w:rsidRPr="0035352F">
        <w:rPr>
          <w:rFonts w:ascii="Bookman Old Style" w:eastAsia="Times New Roman" w:hAnsi="Bookman Old Style" w:cs="Times New Roman"/>
          <w:sz w:val="24"/>
          <w:szCs w:val="24"/>
          <w:lang w:eastAsia="en-ZA"/>
        </w:rPr>
        <w:t xml:space="preserve"> stressed the following submission which appeared in his heads of argument:-</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t xml:space="preserve">“(c) </w:t>
      </w:r>
      <w:proofErr w:type="gramStart"/>
      <w:r w:rsidRPr="0035352F">
        <w:rPr>
          <w:rFonts w:ascii="Bookman Old Style" w:eastAsia="Times New Roman" w:hAnsi="Bookman Old Style" w:cs="Times New Roman"/>
          <w:i/>
          <w:iCs/>
          <w:sz w:val="24"/>
          <w:szCs w:val="24"/>
          <w:lang w:eastAsia="en-ZA"/>
        </w:rPr>
        <w:t>the</w:t>
      </w:r>
      <w:proofErr w:type="gramEnd"/>
      <w:r w:rsidRPr="0035352F">
        <w:rPr>
          <w:rFonts w:ascii="Bookman Old Style" w:eastAsia="Times New Roman" w:hAnsi="Bookman Old Style" w:cs="Times New Roman"/>
          <w:i/>
          <w:iCs/>
          <w:sz w:val="24"/>
          <w:szCs w:val="24"/>
          <w:lang w:eastAsia="en-ZA"/>
        </w:rPr>
        <w:t xml:space="preserve"> plaintiff was, for the </w:t>
      </w:r>
      <w:r w:rsidRPr="0035352F">
        <w:rPr>
          <w:rFonts w:ascii="Bookman Old Style" w:eastAsia="Times New Roman" w:hAnsi="Bookman Old Style" w:cs="Times New Roman"/>
          <w:i/>
          <w:iCs/>
          <w:sz w:val="24"/>
          <w:szCs w:val="24"/>
          <w:u w:val="single"/>
          <w:lang w:eastAsia="en-ZA"/>
        </w:rPr>
        <w:t xml:space="preserve">entire period </w:t>
      </w:r>
      <w:r w:rsidRPr="0035352F">
        <w:rPr>
          <w:rFonts w:ascii="Bookman Old Style" w:eastAsia="Times New Roman" w:hAnsi="Bookman Old Style" w:cs="Times New Roman"/>
          <w:i/>
          <w:iCs/>
          <w:sz w:val="24"/>
          <w:szCs w:val="24"/>
          <w:lang w:eastAsia="en-ZA"/>
        </w:rPr>
        <w:t xml:space="preserve">of the unexpired portion of the contract, willing to perform its obligations and continued to incur the </w:t>
      </w:r>
      <w:r w:rsidRPr="0035352F">
        <w:rPr>
          <w:rFonts w:ascii="Bookman Old Style" w:eastAsia="Times New Roman" w:hAnsi="Bookman Old Style" w:cs="Times New Roman"/>
          <w:i/>
          <w:iCs/>
          <w:sz w:val="24"/>
          <w:szCs w:val="24"/>
          <w:u w:val="single"/>
          <w:lang w:eastAsia="en-ZA"/>
        </w:rPr>
        <w:t xml:space="preserve">costs associated </w:t>
      </w:r>
      <w:r w:rsidRPr="0035352F">
        <w:rPr>
          <w:rFonts w:ascii="Bookman Old Style" w:eastAsia="Times New Roman" w:hAnsi="Bookman Old Style" w:cs="Times New Roman"/>
          <w:i/>
          <w:iCs/>
          <w:sz w:val="24"/>
          <w:szCs w:val="24"/>
          <w:lang w:eastAsia="en-ZA"/>
        </w:rPr>
        <w:t>with such obligation as if the contract were always in force. The plaintiff was therefore entitled to payment of the contractual sum of each month as a result of its willingness to treat the contract as still in force and because of its readiness to take up its obligations to the first defendant at a moment’s notice (see pages 144 and 145 of the record); and</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t xml:space="preserve">(d) </w:t>
      </w:r>
      <w:proofErr w:type="gramStart"/>
      <w:r w:rsidRPr="0035352F">
        <w:rPr>
          <w:rFonts w:ascii="Bookman Old Style" w:eastAsia="Times New Roman" w:hAnsi="Bookman Old Style" w:cs="Times New Roman"/>
          <w:i/>
          <w:iCs/>
          <w:sz w:val="24"/>
          <w:szCs w:val="24"/>
          <w:lang w:eastAsia="en-ZA"/>
        </w:rPr>
        <w:t>the</w:t>
      </w:r>
      <w:proofErr w:type="gramEnd"/>
      <w:r w:rsidRPr="0035352F">
        <w:rPr>
          <w:rFonts w:ascii="Bookman Old Style" w:eastAsia="Times New Roman" w:hAnsi="Bookman Old Style" w:cs="Times New Roman"/>
          <w:i/>
          <w:iCs/>
          <w:sz w:val="24"/>
          <w:szCs w:val="24"/>
          <w:lang w:eastAsia="en-ZA"/>
        </w:rPr>
        <w:t xml:space="preserve"> plaintiff’s normal </w:t>
      </w:r>
      <w:r w:rsidRPr="0035352F">
        <w:rPr>
          <w:rFonts w:ascii="Bookman Old Style" w:eastAsia="Times New Roman" w:hAnsi="Bookman Old Style" w:cs="Times New Roman"/>
          <w:i/>
          <w:iCs/>
          <w:sz w:val="24"/>
          <w:szCs w:val="24"/>
          <w:u w:val="single"/>
          <w:lang w:eastAsia="en-ZA"/>
        </w:rPr>
        <w:t xml:space="preserve">business expenses </w:t>
      </w:r>
      <w:r w:rsidRPr="0035352F">
        <w:rPr>
          <w:rFonts w:ascii="Bookman Old Style" w:eastAsia="Times New Roman" w:hAnsi="Bookman Old Style" w:cs="Times New Roman"/>
          <w:i/>
          <w:iCs/>
          <w:sz w:val="24"/>
          <w:szCs w:val="24"/>
          <w:lang w:eastAsia="en-ZA"/>
        </w:rPr>
        <w:t xml:space="preserve">in respect of employees, creditors and rental for the premises </w:t>
      </w:r>
      <w:r w:rsidRPr="0035352F">
        <w:rPr>
          <w:rFonts w:ascii="Bookman Old Style" w:eastAsia="Times New Roman" w:hAnsi="Bookman Old Style" w:cs="Times New Roman"/>
          <w:i/>
          <w:iCs/>
          <w:sz w:val="24"/>
          <w:szCs w:val="24"/>
          <w:u w:val="single"/>
          <w:lang w:eastAsia="en-ZA"/>
        </w:rPr>
        <w:t xml:space="preserve">continued until December </w:t>
      </w:r>
      <w:r w:rsidRPr="0035352F">
        <w:rPr>
          <w:rFonts w:ascii="Bookman Old Style" w:eastAsia="Times New Roman" w:hAnsi="Bookman Old Style" w:cs="Times New Roman"/>
          <w:i/>
          <w:iCs/>
          <w:sz w:val="24"/>
          <w:szCs w:val="24"/>
          <w:lang w:eastAsia="en-ZA"/>
        </w:rPr>
        <w:t xml:space="preserve">2007 and therefore the plaintiff continued to incur all the expenses associated with the contract, leaving </w:t>
      </w:r>
      <w:r w:rsidRPr="0035352F">
        <w:rPr>
          <w:rFonts w:ascii="Bookman Old Style" w:eastAsia="Times New Roman" w:hAnsi="Bookman Old Style" w:cs="Times New Roman"/>
          <w:i/>
          <w:iCs/>
          <w:sz w:val="24"/>
          <w:szCs w:val="24"/>
          <w:u w:val="single"/>
          <w:lang w:eastAsia="en-ZA"/>
        </w:rPr>
        <w:t xml:space="preserve">nothing to be deducted </w:t>
      </w:r>
      <w:r w:rsidRPr="0035352F">
        <w:rPr>
          <w:rFonts w:ascii="Bookman Old Style" w:eastAsia="Times New Roman" w:hAnsi="Bookman Old Style" w:cs="Times New Roman"/>
          <w:i/>
          <w:iCs/>
          <w:sz w:val="24"/>
          <w:szCs w:val="24"/>
          <w:lang w:eastAsia="en-ZA"/>
        </w:rPr>
        <w:t xml:space="preserve">from the monthly amount payable by the first defendant.” </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The fact of the matter, however, is that these two statements are not supported by evidence. There is thus no basis to rely on them.</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[16] To sum up then, it is not disputed that fumigation is an exercise that involves expenses. The onus of proof was on the plaintiff to prove its profit. That in turn entailed proof of what expenses it suffered as these had to be deducted before any profit could be </w:t>
      </w:r>
      <w:proofErr w:type="spellStart"/>
      <w:r w:rsidRPr="0035352F">
        <w:rPr>
          <w:rFonts w:ascii="Bookman Old Style" w:eastAsia="Times New Roman" w:hAnsi="Bookman Old Style" w:cs="Times New Roman"/>
          <w:sz w:val="24"/>
          <w:szCs w:val="24"/>
          <w:lang w:eastAsia="en-ZA"/>
        </w:rPr>
        <w:t>realised</w:t>
      </w:r>
      <w:proofErr w:type="spellEnd"/>
      <w:r w:rsidRPr="0035352F">
        <w:rPr>
          <w:rFonts w:ascii="Bookman Old Style" w:eastAsia="Times New Roman" w:hAnsi="Bookman Old Style" w:cs="Times New Roman"/>
          <w:sz w:val="24"/>
          <w:szCs w:val="24"/>
          <w:lang w:eastAsia="en-ZA"/>
        </w:rPr>
        <w:t>. The plaintiff failed to discharge such onus. It failed to inform the court what staff it had, the size of the wage bill, when it retrenched them, what fumigation material and insecticides it used et cetera. All this information was readily available to the plaintiff.</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lastRenderedPageBreak/>
        <w:t xml:space="preserve">[17] At the end of his argument </w:t>
      </w:r>
      <w:r w:rsidRPr="0035352F">
        <w:rPr>
          <w:rFonts w:ascii="Bookman Old Style" w:eastAsia="Times New Roman" w:hAnsi="Bookman Old Style" w:cs="Times New Roman"/>
          <w:sz w:val="24"/>
          <w:szCs w:val="24"/>
          <w:u w:val="single"/>
          <w:lang w:eastAsia="en-ZA"/>
        </w:rPr>
        <w:t xml:space="preserve">Mr. Motsa </w:t>
      </w:r>
      <w:r w:rsidRPr="0035352F">
        <w:rPr>
          <w:rFonts w:ascii="Bookman Old Style" w:eastAsia="Times New Roman" w:hAnsi="Bookman Old Style" w:cs="Times New Roman"/>
          <w:sz w:val="24"/>
          <w:szCs w:val="24"/>
          <w:lang w:eastAsia="en-ZA"/>
        </w:rPr>
        <w:t xml:space="preserve">submitted that if the Court were of the view that the </w:t>
      </w:r>
      <w:proofErr w:type="gramStart"/>
      <w:r w:rsidRPr="0035352F">
        <w:rPr>
          <w:rFonts w:ascii="Bookman Old Style" w:eastAsia="Times New Roman" w:hAnsi="Bookman Old Style" w:cs="Times New Roman"/>
          <w:sz w:val="24"/>
          <w:szCs w:val="24"/>
          <w:lang w:eastAsia="en-ZA"/>
        </w:rPr>
        <w:t>plaintiff ’s</w:t>
      </w:r>
      <w:proofErr w:type="gramEnd"/>
      <w:r w:rsidRPr="0035352F">
        <w:rPr>
          <w:rFonts w:ascii="Bookman Old Style" w:eastAsia="Times New Roman" w:hAnsi="Bookman Old Style" w:cs="Times New Roman"/>
          <w:sz w:val="24"/>
          <w:szCs w:val="24"/>
          <w:lang w:eastAsia="en-ZA"/>
        </w:rPr>
        <w:t xml:space="preserve"> damages were not proved the case should be remitted to the court </w:t>
      </w:r>
      <w:r w:rsidRPr="0035352F">
        <w:rPr>
          <w:rFonts w:ascii="Bookman Old Style" w:eastAsia="Times New Roman" w:hAnsi="Bookman Old Style" w:cs="Times New Roman"/>
          <w:i/>
          <w:iCs/>
          <w:sz w:val="24"/>
          <w:szCs w:val="24"/>
          <w:lang w:eastAsia="en-ZA"/>
        </w:rPr>
        <w:t xml:space="preserve">a quo </w:t>
      </w:r>
      <w:r w:rsidRPr="0035352F">
        <w:rPr>
          <w:rFonts w:ascii="Bookman Old Style" w:eastAsia="Times New Roman" w:hAnsi="Bookman Old Style" w:cs="Times New Roman"/>
          <w:sz w:val="24"/>
          <w:szCs w:val="24"/>
          <w:lang w:eastAsia="en-ZA"/>
        </w:rPr>
        <w:t xml:space="preserve">for evidence to be led on the point. In support of this submission he relied on </w:t>
      </w:r>
      <w:proofErr w:type="spellStart"/>
      <w:r w:rsidRPr="0035352F">
        <w:rPr>
          <w:rFonts w:ascii="Bookman Old Style" w:eastAsia="Times New Roman" w:hAnsi="Bookman Old Style" w:cs="Times New Roman"/>
          <w:b/>
          <w:bCs/>
          <w:sz w:val="24"/>
          <w:szCs w:val="24"/>
          <w:u w:val="single"/>
          <w:lang w:eastAsia="en-ZA"/>
        </w:rPr>
        <w:t>Mossel</w:t>
      </w:r>
      <w:proofErr w:type="spellEnd"/>
      <w:r w:rsidRPr="0035352F">
        <w:rPr>
          <w:rFonts w:ascii="Bookman Old Style" w:eastAsia="Times New Roman" w:hAnsi="Bookman Old Style" w:cs="Times New Roman"/>
          <w:b/>
          <w:bCs/>
          <w:sz w:val="24"/>
          <w:szCs w:val="24"/>
          <w:u w:val="single"/>
          <w:lang w:eastAsia="en-ZA"/>
        </w:rPr>
        <w:t xml:space="preserve"> Bay Divisional Council V </w:t>
      </w:r>
      <w:proofErr w:type="spellStart"/>
      <w:r w:rsidRPr="0035352F">
        <w:rPr>
          <w:rFonts w:ascii="Bookman Old Style" w:eastAsia="Times New Roman" w:hAnsi="Bookman Old Style" w:cs="Times New Roman"/>
          <w:b/>
          <w:bCs/>
          <w:sz w:val="24"/>
          <w:szCs w:val="24"/>
          <w:u w:val="single"/>
          <w:lang w:eastAsia="en-ZA"/>
        </w:rPr>
        <w:t>Oosthuizen</w:t>
      </w:r>
      <w:proofErr w:type="spellEnd"/>
      <w:r w:rsidRPr="0035352F">
        <w:rPr>
          <w:rFonts w:ascii="Bookman Old Style" w:eastAsia="Times New Roman" w:hAnsi="Bookman Old Style" w:cs="Times New Roman"/>
          <w:b/>
          <w:bCs/>
          <w:sz w:val="24"/>
          <w:szCs w:val="24"/>
          <w:u w:val="single"/>
          <w:lang w:eastAsia="en-ZA"/>
        </w:rPr>
        <w:t xml:space="preserve"> 1933 CPD 509 </w:t>
      </w:r>
      <w:r w:rsidRPr="0035352F">
        <w:rPr>
          <w:rFonts w:ascii="Bookman Old Style" w:eastAsia="Times New Roman" w:hAnsi="Bookman Old Style" w:cs="Times New Roman"/>
          <w:sz w:val="24"/>
          <w:szCs w:val="24"/>
          <w:lang w:eastAsia="en-ZA"/>
        </w:rPr>
        <w:t xml:space="preserve">and </w:t>
      </w:r>
      <w:r w:rsidRPr="0035352F">
        <w:rPr>
          <w:rFonts w:ascii="Bookman Old Style" w:eastAsia="Times New Roman" w:hAnsi="Bookman Old Style" w:cs="Times New Roman"/>
          <w:b/>
          <w:bCs/>
          <w:sz w:val="24"/>
          <w:szCs w:val="24"/>
          <w:u w:val="single"/>
          <w:lang w:eastAsia="en-ZA"/>
        </w:rPr>
        <w:t>Modern Engineering Works V Jacobs 1949 (3) S.A. 191 (T).</w:t>
      </w:r>
      <w:r w:rsidRPr="0035352F">
        <w:rPr>
          <w:rFonts w:ascii="Bookman Old Style" w:eastAsia="Times New Roman" w:hAnsi="Bookman Old Style" w:cs="Times New Roman"/>
          <w:b/>
          <w:bCs/>
          <w:sz w:val="24"/>
          <w:szCs w:val="24"/>
          <w:lang w:eastAsia="en-ZA"/>
        </w:rPr>
        <w:t xml:space="preserve"> </w:t>
      </w:r>
      <w:r w:rsidRPr="0035352F">
        <w:rPr>
          <w:rFonts w:ascii="Bookman Old Style" w:eastAsia="Times New Roman" w:hAnsi="Bookman Old Style" w:cs="Times New Roman"/>
          <w:sz w:val="24"/>
          <w:szCs w:val="24"/>
          <w:lang w:eastAsia="en-ZA"/>
        </w:rPr>
        <w:t xml:space="preserve">He was given leave to file supplementary heads on the point and in these heads he referred to two further cases </w:t>
      </w:r>
      <w:r w:rsidRPr="0035352F">
        <w:rPr>
          <w:rFonts w:ascii="Bookman Old Style" w:eastAsia="Times New Roman" w:hAnsi="Bookman Old Style" w:cs="Times New Roman"/>
          <w:b/>
          <w:bCs/>
          <w:sz w:val="24"/>
          <w:szCs w:val="24"/>
          <w:u w:val="single"/>
          <w:lang w:eastAsia="en-ZA"/>
        </w:rPr>
        <w:t xml:space="preserve">Coetzee V Jansen 1954 (3) S.A. 173 (T) </w:t>
      </w:r>
      <w:r w:rsidRPr="0035352F">
        <w:rPr>
          <w:rFonts w:ascii="Bookman Old Style" w:eastAsia="Times New Roman" w:hAnsi="Bookman Old Style" w:cs="Times New Roman"/>
          <w:sz w:val="24"/>
          <w:szCs w:val="24"/>
          <w:lang w:eastAsia="en-ZA"/>
        </w:rPr>
        <w:t xml:space="preserve">and </w:t>
      </w:r>
      <w:proofErr w:type="spellStart"/>
      <w:r w:rsidRPr="0035352F">
        <w:rPr>
          <w:rFonts w:ascii="Bookman Old Style" w:eastAsia="Times New Roman" w:hAnsi="Bookman Old Style" w:cs="Times New Roman"/>
          <w:b/>
          <w:bCs/>
          <w:sz w:val="24"/>
          <w:szCs w:val="24"/>
          <w:u w:val="single"/>
          <w:lang w:eastAsia="en-ZA"/>
        </w:rPr>
        <w:t>Maswanganyi</w:t>
      </w:r>
      <w:proofErr w:type="spellEnd"/>
      <w:r w:rsidRPr="0035352F">
        <w:rPr>
          <w:rFonts w:ascii="Bookman Old Style" w:eastAsia="Times New Roman" w:hAnsi="Bookman Old Style" w:cs="Times New Roman"/>
          <w:b/>
          <w:bCs/>
          <w:sz w:val="24"/>
          <w:szCs w:val="24"/>
          <w:u w:val="single"/>
          <w:lang w:eastAsia="en-ZA"/>
        </w:rPr>
        <w:t xml:space="preserve"> V First National Bank Ltd 2002 (3) S.A. 365 (W) </w:t>
      </w:r>
      <w:r w:rsidRPr="0035352F">
        <w:rPr>
          <w:rFonts w:ascii="Bookman Old Style" w:eastAsia="Times New Roman" w:hAnsi="Bookman Old Style" w:cs="Times New Roman"/>
          <w:sz w:val="24"/>
          <w:szCs w:val="24"/>
          <w:lang w:eastAsia="en-ZA"/>
        </w:rPr>
        <w:t xml:space="preserve">at 371 – 2. He contended that special circumstances were present in this case, namely (1) the lack of appreciation on the part of the plaintiff of the measure of damages to be proved in that it used the measure of </w:t>
      </w:r>
      <w:proofErr w:type="spellStart"/>
      <w:r w:rsidRPr="0035352F">
        <w:rPr>
          <w:rFonts w:ascii="Bookman Old Style" w:eastAsia="Times New Roman" w:hAnsi="Bookman Old Style" w:cs="Times New Roman"/>
          <w:sz w:val="24"/>
          <w:szCs w:val="24"/>
          <w:lang w:eastAsia="en-ZA"/>
        </w:rPr>
        <w:t>locatio</w:t>
      </w:r>
      <w:proofErr w:type="spellEnd"/>
      <w:r w:rsidRPr="0035352F">
        <w:rPr>
          <w:rFonts w:ascii="Bookman Old Style" w:eastAsia="Times New Roman" w:hAnsi="Bookman Old Style" w:cs="Times New Roman"/>
          <w:sz w:val="24"/>
          <w:szCs w:val="24"/>
          <w:lang w:eastAsia="en-ZA"/>
        </w:rPr>
        <w:t xml:space="preserve"> </w:t>
      </w:r>
      <w:proofErr w:type="spellStart"/>
      <w:r w:rsidRPr="0035352F">
        <w:rPr>
          <w:rFonts w:ascii="Bookman Old Style" w:eastAsia="Times New Roman" w:hAnsi="Bookman Old Style" w:cs="Times New Roman"/>
          <w:sz w:val="24"/>
          <w:szCs w:val="24"/>
          <w:lang w:eastAsia="en-ZA"/>
        </w:rPr>
        <w:t>conditio</w:t>
      </w:r>
      <w:proofErr w:type="spellEnd"/>
      <w:r w:rsidRPr="0035352F">
        <w:rPr>
          <w:rFonts w:ascii="Bookman Old Style" w:eastAsia="Times New Roman" w:hAnsi="Bookman Old Style" w:cs="Times New Roman"/>
          <w:sz w:val="24"/>
          <w:szCs w:val="24"/>
          <w:lang w:eastAsia="en-ZA"/>
        </w:rPr>
        <w:t xml:space="preserve"> </w:t>
      </w:r>
      <w:proofErr w:type="spellStart"/>
      <w:r w:rsidRPr="0035352F">
        <w:rPr>
          <w:rFonts w:ascii="Bookman Old Style" w:eastAsia="Times New Roman" w:hAnsi="Bookman Old Style" w:cs="Times New Roman"/>
          <w:sz w:val="24"/>
          <w:szCs w:val="24"/>
          <w:lang w:eastAsia="en-ZA"/>
        </w:rPr>
        <w:t>operis</w:t>
      </w:r>
      <w:proofErr w:type="spellEnd"/>
      <w:r w:rsidRPr="0035352F">
        <w:rPr>
          <w:rFonts w:ascii="Bookman Old Style" w:eastAsia="Times New Roman" w:hAnsi="Bookman Old Style" w:cs="Times New Roman"/>
          <w:sz w:val="24"/>
          <w:szCs w:val="24"/>
          <w:lang w:eastAsia="en-ZA"/>
        </w:rPr>
        <w:t xml:space="preserve"> instead of the measure of loss of profit; and (2) the fact that the defendant, as he put it, “</w:t>
      </w:r>
      <w:r w:rsidRPr="0035352F">
        <w:rPr>
          <w:rFonts w:ascii="Bookman Old Style" w:eastAsia="Times New Roman" w:hAnsi="Bookman Old Style" w:cs="Times New Roman"/>
          <w:i/>
          <w:iCs/>
          <w:sz w:val="24"/>
          <w:szCs w:val="24"/>
          <w:lang w:eastAsia="en-ZA"/>
        </w:rPr>
        <w:t>only raised spurious defences to challenge the breach and did not controvert the measure of damages approach adopted”</w:t>
      </w:r>
      <w:r w:rsidRPr="0035352F">
        <w:rPr>
          <w:rFonts w:ascii="Bookman Old Style" w:eastAsia="Times New Roman" w:hAnsi="Bookman Old Style" w:cs="Times New Roman"/>
          <w:sz w:val="24"/>
          <w:szCs w:val="24"/>
          <w:lang w:eastAsia="en-ZA"/>
        </w:rPr>
        <w:t xml:space="preserve"> by the plaintiff in the court </w:t>
      </w:r>
      <w:r w:rsidRPr="0035352F">
        <w:rPr>
          <w:rFonts w:ascii="Bookman Old Style" w:eastAsia="Times New Roman" w:hAnsi="Bookman Old Style" w:cs="Times New Roman"/>
          <w:i/>
          <w:iCs/>
          <w:sz w:val="24"/>
          <w:szCs w:val="24"/>
          <w:lang w:eastAsia="en-ZA"/>
        </w:rPr>
        <w:t xml:space="preserve">a quo. </w:t>
      </w:r>
      <w:r w:rsidRPr="0035352F">
        <w:rPr>
          <w:rFonts w:ascii="Bookman Old Style" w:eastAsia="Times New Roman" w:hAnsi="Bookman Old Style" w:cs="Times New Roman"/>
          <w:sz w:val="24"/>
          <w:szCs w:val="24"/>
          <w:lang w:eastAsia="en-ZA"/>
        </w:rPr>
        <w:t>He also submitted that the prejudice which the defendant has suffered can be cured by a costs order in respect of the appeal but that there would be considerable costs if absolution were granted at this stage.</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[18] An application for remittal to the court </w:t>
      </w:r>
      <w:r w:rsidRPr="0035352F">
        <w:rPr>
          <w:rFonts w:ascii="Bookman Old Style" w:eastAsia="Times New Roman" w:hAnsi="Bookman Old Style" w:cs="Times New Roman"/>
          <w:i/>
          <w:iCs/>
          <w:sz w:val="24"/>
          <w:szCs w:val="24"/>
          <w:lang w:eastAsia="en-ZA"/>
        </w:rPr>
        <w:t xml:space="preserve">a quo </w:t>
      </w:r>
      <w:r w:rsidRPr="0035352F">
        <w:rPr>
          <w:rFonts w:ascii="Bookman Old Style" w:eastAsia="Times New Roman" w:hAnsi="Bookman Old Style" w:cs="Times New Roman"/>
          <w:sz w:val="24"/>
          <w:szCs w:val="24"/>
          <w:lang w:eastAsia="en-ZA"/>
        </w:rPr>
        <w:t xml:space="preserve">to enable damages to be proved was considered in </w:t>
      </w:r>
      <w:proofErr w:type="spellStart"/>
      <w:r w:rsidRPr="0035352F">
        <w:rPr>
          <w:rFonts w:ascii="Bookman Old Style" w:eastAsia="Times New Roman" w:hAnsi="Bookman Old Style" w:cs="Times New Roman"/>
          <w:b/>
          <w:bCs/>
          <w:sz w:val="24"/>
          <w:szCs w:val="24"/>
          <w:u w:val="single"/>
          <w:lang w:eastAsia="en-ZA"/>
        </w:rPr>
        <w:t>Odendaalsrust</w:t>
      </w:r>
      <w:proofErr w:type="spellEnd"/>
      <w:r w:rsidRPr="0035352F">
        <w:rPr>
          <w:rFonts w:ascii="Bookman Old Style" w:eastAsia="Times New Roman" w:hAnsi="Bookman Old Style" w:cs="Times New Roman"/>
          <w:b/>
          <w:bCs/>
          <w:sz w:val="24"/>
          <w:szCs w:val="24"/>
          <w:u w:val="single"/>
          <w:lang w:eastAsia="en-ZA"/>
        </w:rPr>
        <w:t xml:space="preserve"> Gold General Investments And Extensions Ltd V </w:t>
      </w:r>
      <w:proofErr w:type="spellStart"/>
      <w:r w:rsidRPr="0035352F">
        <w:rPr>
          <w:rFonts w:ascii="Bookman Old Style" w:eastAsia="Times New Roman" w:hAnsi="Bookman Old Style" w:cs="Times New Roman"/>
          <w:b/>
          <w:bCs/>
          <w:sz w:val="24"/>
          <w:szCs w:val="24"/>
          <w:u w:val="single"/>
          <w:lang w:eastAsia="en-ZA"/>
        </w:rPr>
        <w:t>Naude</w:t>
      </w:r>
      <w:proofErr w:type="spellEnd"/>
      <w:r w:rsidRPr="0035352F">
        <w:rPr>
          <w:rFonts w:ascii="Bookman Old Style" w:eastAsia="Times New Roman" w:hAnsi="Bookman Old Style" w:cs="Times New Roman"/>
          <w:b/>
          <w:bCs/>
          <w:sz w:val="24"/>
          <w:szCs w:val="24"/>
          <w:u w:val="single"/>
          <w:lang w:eastAsia="en-ZA"/>
        </w:rPr>
        <w:t xml:space="preserve"> N.O. 1958 (1) S.A. 381 (T) </w:t>
      </w:r>
      <w:r w:rsidRPr="0035352F">
        <w:rPr>
          <w:rFonts w:ascii="Bookman Old Style" w:eastAsia="Times New Roman" w:hAnsi="Bookman Old Style" w:cs="Times New Roman"/>
          <w:sz w:val="24"/>
          <w:szCs w:val="24"/>
          <w:lang w:eastAsia="en-ZA"/>
        </w:rPr>
        <w:t xml:space="preserve">at 384 G – 385 D where </w:t>
      </w:r>
      <w:proofErr w:type="spellStart"/>
      <w:r w:rsidRPr="0035352F">
        <w:rPr>
          <w:rFonts w:ascii="Bookman Old Style" w:eastAsia="Times New Roman" w:hAnsi="Bookman Old Style" w:cs="Times New Roman"/>
          <w:sz w:val="24"/>
          <w:szCs w:val="24"/>
          <w:lang w:eastAsia="en-ZA"/>
        </w:rPr>
        <w:t>Bekker</w:t>
      </w:r>
      <w:proofErr w:type="spellEnd"/>
      <w:r w:rsidRPr="0035352F">
        <w:rPr>
          <w:rFonts w:ascii="Bookman Old Style" w:eastAsia="Times New Roman" w:hAnsi="Bookman Old Style" w:cs="Times New Roman"/>
          <w:sz w:val="24"/>
          <w:szCs w:val="24"/>
          <w:lang w:eastAsia="en-ZA"/>
        </w:rPr>
        <w:t xml:space="preserve"> J, with whom Dowling J concurred, said:-</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t xml:space="preserve">“Mr. McEwan finally contended that if it should be found that the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t>evidence</w:t>
      </w:r>
      <w:proofErr w:type="gramEnd"/>
      <w:r w:rsidRPr="0035352F">
        <w:rPr>
          <w:rFonts w:ascii="Bookman Old Style" w:eastAsia="Times New Roman" w:hAnsi="Bookman Old Style" w:cs="Times New Roman"/>
          <w:i/>
          <w:iCs/>
          <w:sz w:val="24"/>
          <w:szCs w:val="24"/>
          <w:lang w:eastAsia="en-ZA"/>
        </w:rPr>
        <w:t xml:space="preserve"> was insufficient to justify the award, the case should be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lastRenderedPageBreak/>
        <w:t>remitted</w:t>
      </w:r>
      <w:proofErr w:type="gramEnd"/>
      <w:r w:rsidRPr="0035352F">
        <w:rPr>
          <w:rFonts w:ascii="Bookman Old Style" w:eastAsia="Times New Roman" w:hAnsi="Bookman Old Style" w:cs="Times New Roman"/>
          <w:i/>
          <w:iCs/>
          <w:sz w:val="24"/>
          <w:szCs w:val="24"/>
          <w:lang w:eastAsia="en-ZA"/>
        </w:rPr>
        <w:t xml:space="preserve"> to the magistrate in order to enable the plaintiff to present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t>additional</w:t>
      </w:r>
      <w:proofErr w:type="gramEnd"/>
      <w:r w:rsidRPr="0035352F">
        <w:rPr>
          <w:rFonts w:ascii="Bookman Old Style" w:eastAsia="Times New Roman" w:hAnsi="Bookman Old Style" w:cs="Times New Roman"/>
          <w:i/>
          <w:iCs/>
          <w:sz w:val="24"/>
          <w:szCs w:val="24"/>
          <w:lang w:eastAsia="en-ZA"/>
        </w:rPr>
        <w:t xml:space="preserve"> evidence on which an award could properly be made. In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t>support</w:t>
      </w:r>
      <w:proofErr w:type="gramEnd"/>
      <w:r w:rsidRPr="0035352F">
        <w:rPr>
          <w:rFonts w:ascii="Bookman Old Style" w:eastAsia="Times New Roman" w:hAnsi="Bookman Old Style" w:cs="Times New Roman"/>
          <w:i/>
          <w:iCs/>
          <w:sz w:val="24"/>
          <w:szCs w:val="24"/>
          <w:lang w:eastAsia="en-ZA"/>
        </w:rPr>
        <w:t xml:space="preserve"> of his contention he relied on the decision and reasoning of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t>this</w:t>
      </w:r>
      <w:proofErr w:type="gramEnd"/>
      <w:r w:rsidRPr="0035352F">
        <w:rPr>
          <w:rFonts w:ascii="Bookman Old Style" w:eastAsia="Times New Roman" w:hAnsi="Bookman Old Style" w:cs="Times New Roman"/>
          <w:i/>
          <w:iCs/>
          <w:sz w:val="24"/>
          <w:szCs w:val="24"/>
          <w:lang w:eastAsia="en-ZA"/>
        </w:rPr>
        <w:t xml:space="preserve"> Court in </w:t>
      </w:r>
      <w:r w:rsidRPr="0035352F">
        <w:rPr>
          <w:rFonts w:ascii="Bookman Old Style" w:eastAsia="Times New Roman" w:hAnsi="Bookman Old Style" w:cs="Times New Roman"/>
          <w:b/>
          <w:bCs/>
          <w:i/>
          <w:iCs/>
          <w:sz w:val="24"/>
          <w:szCs w:val="24"/>
          <w:u w:val="single"/>
          <w:lang w:eastAsia="en-ZA"/>
        </w:rPr>
        <w:t xml:space="preserve">Modern Engineering Works V Jacobs, 1949 (3)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b/>
          <w:bCs/>
          <w:i/>
          <w:iCs/>
          <w:sz w:val="24"/>
          <w:szCs w:val="24"/>
          <w:u w:val="single"/>
          <w:lang w:eastAsia="en-ZA"/>
        </w:rPr>
        <w:t>S.A. 191 (T</w:t>
      </w:r>
      <w:proofErr w:type="gramStart"/>
      <w:r w:rsidRPr="0035352F">
        <w:rPr>
          <w:rFonts w:ascii="Bookman Old Style" w:eastAsia="Times New Roman" w:hAnsi="Bookman Old Style" w:cs="Times New Roman"/>
          <w:b/>
          <w:bCs/>
          <w:i/>
          <w:iCs/>
          <w:sz w:val="24"/>
          <w:szCs w:val="24"/>
          <w:u w:val="single"/>
          <w:lang w:eastAsia="en-ZA"/>
        </w:rPr>
        <w:t>)</w:t>
      </w:r>
      <w:r w:rsidRPr="0035352F">
        <w:rPr>
          <w:rFonts w:ascii="Bookman Old Style" w:eastAsia="Times New Roman" w:hAnsi="Bookman Old Style" w:cs="Times New Roman"/>
          <w:i/>
          <w:iCs/>
          <w:sz w:val="24"/>
          <w:szCs w:val="24"/>
          <w:lang w:eastAsia="en-ZA"/>
        </w:rPr>
        <w:t>at</w:t>
      </w:r>
      <w:proofErr w:type="gramEnd"/>
      <w:r w:rsidRPr="0035352F">
        <w:rPr>
          <w:rFonts w:ascii="Bookman Old Style" w:eastAsia="Times New Roman" w:hAnsi="Bookman Old Style" w:cs="Times New Roman"/>
          <w:i/>
          <w:iCs/>
          <w:sz w:val="24"/>
          <w:szCs w:val="24"/>
          <w:lang w:eastAsia="en-ZA"/>
        </w:rPr>
        <w:t xml:space="preserve"> p. 193, and </w:t>
      </w:r>
      <w:r w:rsidRPr="0035352F">
        <w:rPr>
          <w:rFonts w:ascii="Bookman Old Style" w:eastAsia="Times New Roman" w:hAnsi="Bookman Old Style" w:cs="Times New Roman"/>
          <w:b/>
          <w:bCs/>
          <w:i/>
          <w:iCs/>
          <w:sz w:val="24"/>
          <w:szCs w:val="24"/>
          <w:u w:val="single"/>
          <w:lang w:eastAsia="en-ZA"/>
        </w:rPr>
        <w:t xml:space="preserve">Coetzee V Jansen, 1954 (3) S.A. 173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b/>
          <w:bCs/>
          <w:i/>
          <w:iCs/>
          <w:sz w:val="24"/>
          <w:szCs w:val="24"/>
          <w:u w:val="single"/>
          <w:lang w:eastAsia="en-ZA"/>
        </w:rPr>
        <w:t>(T)</w:t>
      </w:r>
      <w:proofErr w:type="gramStart"/>
      <w:r w:rsidRPr="0035352F">
        <w:rPr>
          <w:rFonts w:ascii="Bookman Old Style" w:eastAsia="Times New Roman" w:hAnsi="Bookman Old Style" w:cs="Times New Roman"/>
          <w:b/>
          <w:bCs/>
          <w:i/>
          <w:iCs/>
          <w:sz w:val="24"/>
          <w:szCs w:val="24"/>
          <w:u w:val="single"/>
          <w:lang w:eastAsia="en-ZA"/>
        </w:rPr>
        <w:t>,</w:t>
      </w:r>
      <w:r w:rsidRPr="0035352F">
        <w:rPr>
          <w:rFonts w:ascii="Bookman Old Style" w:eastAsia="Times New Roman" w:hAnsi="Bookman Old Style" w:cs="Times New Roman"/>
          <w:i/>
          <w:iCs/>
          <w:sz w:val="24"/>
          <w:szCs w:val="24"/>
          <w:lang w:eastAsia="en-ZA"/>
        </w:rPr>
        <w:t>when</w:t>
      </w:r>
      <w:proofErr w:type="gramEnd"/>
      <w:r w:rsidRPr="0035352F">
        <w:rPr>
          <w:rFonts w:ascii="Bookman Old Style" w:eastAsia="Times New Roman" w:hAnsi="Bookman Old Style" w:cs="Times New Roman"/>
          <w:i/>
          <w:iCs/>
          <w:sz w:val="24"/>
          <w:szCs w:val="24"/>
          <w:lang w:eastAsia="en-ZA"/>
        </w:rPr>
        <w:t xml:space="preserve"> such a course was indeed followed. But in </w:t>
      </w:r>
      <w:proofErr w:type="spellStart"/>
      <w:r w:rsidRPr="0035352F">
        <w:rPr>
          <w:rFonts w:ascii="Bookman Old Style" w:eastAsia="Times New Roman" w:hAnsi="Bookman Old Style" w:cs="Times New Roman"/>
          <w:b/>
          <w:bCs/>
          <w:i/>
          <w:iCs/>
          <w:sz w:val="24"/>
          <w:szCs w:val="24"/>
          <w:u w:val="single"/>
          <w:lang w:eastAsia="en-ZA"/>
        </w:rPr>
        <w:t>Scrooby</w:t>
      </w:r>
      <w:proofErr w:type="spellEnd"/>
      <w:r w:rsidRPr="0035352F">
        <w:rPr>
          <w:rFonts w:ascii="Bookman Old Style" w:eastAsia="Times New Roman" w:hAnsi="Bookman Old Style" w:cs="Times New Roman"/>
          <w:b/>
          <w:bCs/>
          <w:i/>
          <w:iCs/>
          <w:sz w:val="24"/>
          <w:szCs w:val="24"/>
          <w:u w:val="single"/>
          <w:lang w:eastAsia="en-ZA"/>
        </w:rPr>
        <w:t xml:space="preserve"> V </w:t>
      </w:r>
    </w:p>
    <w:p w:rsidR="0035352F" w:rsidRPr="0035352F" w:rsidRDefault="0035352F" w:rsidP="0035352F">
      <w:pPr>
        <w:spacing w:after="360" w:line="360" w:lineRule="auto"/>
        <w:ind w:left="2160"/>
        <w:jc w:val="both"/>
        <w:rPr>
          <w:rFonts w:ascii="Bookman Old Style" w:eastAsia="Times New Roman" w:hAnsi="Bookman Old Style" w:cs="Times New Roman"/>
          <w:sz w:val="24"/>
          <w:szCs w:val="24"/>
          <w:lang w:eastAsia="en-ZA"/>
        </w:rPr>
      </w:pPr>
      <w:proofErr w:type="spellStart"/>
      <w:r w:rsidRPr="0035352F">
        <w:rPr>
          <w:rFonts w:ascii="Bookman Old Style" w:eastAsia="Times New Roman" w:hAnsi="Bookman Old Style" w:cs="Times New Roman"/>
          <w:b/>
          <w:bCs/>
          <w:i/>
          <w:iCs/>
          <w:sz w:val="24"/>
          <w:szCs w:val="24"/>
          <w:u w:val="single"/>
          <w:lang w:eastAsia="en-ZA"/>
        </w:rPr>
        <w:t>Engelbrecht</w:t>
      </w:r>
      <w:proofErr w:type="spellEnd"/>
      <w:r w:rsidRPr="0035352F">
        <w:rPr>
          <w:rFonts w:ascii="Bookman Old Style" w:eastAsia="Times New Roman" w:hAnsi="Bookman Old Style" w:cs="Times New Roman"/>
          <w:b/>
          <w:bCs/>
          <w:i/>
          <w:iCs/>
          <w:sz w:val="24"/>
          <w:szCs w:val="24"/>
          <w:u w:val="single"/>
          <w:lang w:eastAsia="en-ZA"/>
        </w:rPr>
        <w:t xml:space="preserve">, 1940 T.P.D. 100 </w:t>
      </w:r>
      <w:r w:rsidRPr="0035352F">
        <w:rPr>
          <w:rFonts w:ascii="Bookman Old Style" w:eastAsia="Times New Roman" w:hAnsi="Bookman Old Style" w:cs="Times New Roman"/>
          <w:i/>
          <w:iCs/>
          <w:sz w:val="24"/>
          <w:szCs w:val="24"/>
          <w:lang w:eastAsia="en-ZA"/>
        </w:rPr>
        <w:t xml:space="preserve">at p. 106, RAMSBOTTOM, J., said, </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proofErr w:type="gramStart"/>
      <w:r w:rsidRPr="0035352F">
        <w:rPr>
          <w:rFonts w:ascii="Bookman Old Style" w:eastAsia="Times New Roman" w:hAnsi="Bookman Old Style" w:cs="Times New Roman"/>
          <w:i/>
          <w:iCs/>
          <w:sz w:val="24"/>
          <w:szCs w:val="24"/>
          <w:lang w:eastAsia="en-ZA"/>
        </w:rPr>
        <w:t>in</w:t>
      </w:r>
      <w:proofErr w:type="gramEnd"/>
      <w:r w:rsidRPr="0035352F">
        <w:rPr>
          <w:rFonts w:ascii="Bookman Old Style" w:eastAsia="Times New Roman" w:hAnsi="Bookman Old Style" w:cs="Times New Roman"/>
          <w:i/>
          <w:iCs/>
          <w:sz w:val="24"/>
          <w:szCs w:val="24"/>
          <w:lang w:eastAsia="en-ZA"/>
        </w:rPr>
        <w:t xml:space="preserve"> refusing such a request:- </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t xml:space="preserve">‘In my opinion this is not a case in which we should exercise the power of remittal conferred by sec. 84 of the Act; there are no special circumstances to take it outside the ordinary rule stated in </w:t>
      </w:r>
      <w:proofErr w:type="spellStart"/>
      <w:r w:rsidRPr="0035352F">
        <w:rPr>
          <w:rFonts w:ascii="Bookman Old Style" w:eastAsia="Times New Roman" w:hAnsi="Bookman Old Style" w:cs="Times New Roman"/>
          <w:b/>
          <w:bCs/>
          <w:i/>
          <w:iCs/>
          <w:sz w:val="24"/>
          <w:szCs w:val="24"/>
          <w:u w:val="single"/>
          <w:lang w:eastAsia="en-ZA"/>
        </w:rPr>
        <w:t>Kottler</w:t>
      </w:r>
      <w:proofErr w:type="spellEnd"/>
      <w:r w:rsidRPr="0035352F">
        <w:rPr>
          <w:rFonts w:ascii="Bookman Old Style" w:eastAsia="Times New Roman" w:hAnsi="Bookman Old Style" w:cs="Times New Roman"/>
          <w:b/>
          <w:bCs/>
          <w:i/>
          <w:iCs/>
          <w:sz w:val="24"/>
          <w:szCs w:val="24"/>
          <w:u w:val="single"/>
          <w:lang w:eastAsia="en-ZA"/>
        </w:rPr>
        <w:t xml:space="preserve"> V </w:t>
      </w:r>
      <w:proofErr w:type="spellStart"/>
      <w:r w:rsidRPr="0035352F">
        <w:rPr>
          <w:rFonts w:ascii="Bookman Old Style" w:eastAsia="Times New Roman" w:hAnsi="Bookman Old Style" w:cs="Times New Roman"/>
          <w:b/>
          <w:bCs/>
          <w:i/>
          <w:iCs/>
          <w:sz w:val="24"/>
          <w:szCs w:val="24"/>
          <w:u w:val="single"/>
          <w:lang w:eastAsia="en-ZA"/>
        </w:rPr>
        <w:t>Jordaan</w:t>
      </w:r>
      <w:proofErr w:type="spellEnd"/>
      <w:r w:rsidRPr="0035352F">
        <w:rPr>
          <w:rFonts w:ascii="Bookman Old Style" w:eastAsia="Times New Roman" w:hAnsi="Bookman Old Style" w:cs="Times New Roman"/>
          <w:b/>
          <w:bCs/>
          <w:i/>
          <w:iCs/>
          <w:sz w:val="24"/>
          <w:szCs w:val="24"/>
          <w:u w:val="single"/>
          <w:lang w:eastAsia="en-ZA"/>
        </w:rPr>
        <w:t>, 1930 T.P.D. 466’</w:t>
      </w:r>
      <w:r w:rsidRPr="0035352F">
        <w:rPr>
          <w:rFonts w:ascii="Bookman Old Style" w:eastAsia="Times New Roman" w:hAnsi="Bookman Old Style" w:cs="Times New Roman"/>
          <w:i/>
          <w:iCs/>
          <w:sz w:val="24"/>
          <w:szCs w:val="24"/>
          <w:lang w:eastAsia="en-ZA"/>
        </w:rPr>
        <w:t xml:space="preserve"> and in which it was held that:-</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t>‘Ordinarily a Court will not give leave to a litigant to have a case re-opened for the purposes of calling further evidence if, after having closed his case, he finds that his case has been insufficiently presented.’</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lastRenderedPageBreak/>
        <w:t xml:space="preserve">Quite apart from the fact that the Court’s attention, in the cases referred to by Mr. McEwan, was presumably not directed to the observation of RAMSBOTTOM, J., in </w:t>
      </w:r>
      <w:proofErr w:type="spellStart"/>
      <w:r w:rsidRPr="0035352F">
        <w:rPr>
          <w:rFonts w:ascii="Bookman Old Style" w:eastAsia="Times New Roman" w:hAnsi="Bookman Old Style" w:cs="Times New Roman"/>
          <w:b/>
          <w:bCs/>
          <w:i/>
          <w:iCs/>
          <w:sz w:val="24"/>
          <w:szCs w:val="24"/>
          <w:lang w:eastAsia="en-ZA"/>
        </w:rPr>
        <w:t>Scrooby’s</w:t>
      </w:r>
      <w:proofErr w:type="spellEnd"/>
      <w:r w:rsidRPr="0035352F">
        <w:rPr>
          <w:rFonts w:ascii="Bookman Old Style" w:eastAsia="Times New Roman" w:hAnsi="Bookman Old Style" w:cs="Times New Roman"/>
          <w:b/>
          <w:bCs/>
          <w:i/>
          <w:iCs/>
          <w:sz w:val="24"/>
          <w:szCs w:val="24"/>
          <w:lang w:eastAsia="en-ZA"/>
        </w:rPr>
        <w:t xml:space="preserve"> </w:t>
      </w:r>
      <w:r w:rsidRPr="0035352F">
        <w:rPr>
          <w:rFonts w:ascii="Bookman Old Style" w:eastAsia="Times New Roman" w:hAnsi="Bookman Old Style" w:cs="Times New Roman"/>
          <w:i/>
          <w:iCs/>
          <w:sz w:val="24"/>
          <w:szCs w:val="24"/>
          <w:lang w:eastAsia="en-ZA"/>
        </w:rPr>
        <w:t xml:space="preserve">case, </w:t>
      </w:r>
      <w:r w:rsidRPr="0035352F">
        <w:rPr>
          <w:rFonts w:ascii="Bookman Old Style" w:eastAsia="Times New Roman" w:hAnsi="Bookman Old Style" w:cs="Times New Roman"/>
          <w:b/>
          <w:bCs/>
          <w:i/>
          <w:iCs/>
          <w:sz w:val="24"/>
          <w:szCs w:val="24"/>
          <w:lang w:eastAsia="en-ZA"/>
        </w:rPr>
        <w:t xml:space="preserve">supra, </w:t>
      </w:r>
      <w:r w:rsidRPr="0035352F">
        <w:rPr>
          <w:rFonts w:ascii="Bookman Old Style" w:eastAsia="Times New Roman" w:hAnsi="Bookman Old Style" w:cs="Times New Roman"/>
          <w:i/>
          <w:iCs/>
          <w:sz w:val="24"/>
          <w:szCs w:val="24"/>
          <w:lang w:eastAsia="en-ZA"/>
        </w:rPr>
        <w:t xml:space="preserve">it has been the practice in this division to adhere to the rule laid down in </w:t>
      </w:r>
      <w:proofErr w:type="spellStart"/>
      <w:r w:rsidRPr="0035352F">
        <w:rPr>
          <w:rFonts w:ascii="Bookman Old Style" w:eastAsia="Times New Roman" w:hAnsi="Bookman Old Style" w:cs="Times New Roman"/>
          <w:b/>
          <w:bCs/>
          <w:i/>
          <w:iCs/>
          <w:sz w:val="24"/>
          <w:szCs w:val="24"/>
          <w:u w:val="single"/>
          <w:lang w:eastAsia="en-ZA"/>
        </w:rPr>
        <w:t>Kottler</w:t>
      </w:r>
      <w:proofErr w:type="spellEnd"/>
      <w:r w:rsidRPr="0035352F">
        <w:rPr>
          <w:rFonts w:ascii="Bookman Old Style" w:eastAsia="Times New Roman" w:hAnsi="Bookman Old Style" w:cs="Times New Roman"/>
          <w:b/>
          <w:bCs/>
          <w:i/>
          <w:iCs/>
          <w:sz w:val="24"/>
          <w:szCs w:val="24"/>
          <w:u w:val="single"/>
          <w:lang w:eastAsia="en-ZA"/>
        </w:rPr>
        <w:t xml:space="preserve"> V </w:t>
      </w:r>
      <w:proofErr w:type="spellStart"/>
      <w:r w:rsidRPr="0035352F">
        <w:rPr>
          <w:rFonts w:ascii="Bookman Old Style" w:eastAsia="Times New Roman" w:hAnsi="Bookman Old Style" w:cs="Times New Roman"/>
          <w:b/>
          <w:bCs/>
          <w:i/>
          <w:iCs/>
          <w:sz w:val="24"/>
          <w:szCs w:val="24"/>
          <w:u w:val="single"/>
          <w:lang w:eastAsia="en-ZA"/>
        </w:rPr>
        <w:t>Jordaan</w:t>
      </w:r>
      <w:proofErr w:type="spellEnd"/>
      <w:r w:rsidRPr="0035352F">
        <w:rPr>
          <w:rFonts w:ascii="Bookman Old Style" w:eastAsia="Times New Roman" w:hAnsi="Bookman Old Style" w:cs="Times New Roman"/>
          <w:b/>
          <w:bCs/>
          <w:i/>
          <w:iCs/>
          <w:sz w:val="24"/>
          <w:szCs w:val="24"/>
          <w:u w:val="single"/>
          <w:lang w:eastAsia="en-ZA"/>
        </w:rPr>
        <w:t xml:space="preserve"> </w:t>
      </w:r>
      <w:r w:rsidRPr="0035352F">
        <w:rPr>
          <w:rFonts w:ascii="Bookman Old Style" w:eastAsia="Times New Roman" w:hAnsi="Bookman Old Style" w:cs="Times New Roman"/>
          <w:i/>
          <w:iCs/>
          <w:sz w:val="24"/>
          <w:szCs w:val="24"/>
          <w:lang w:eastAsia="en-ZA"/>
        </w:rPr>
        <w:t xml:space="preserve">and to refuse such leave in the absence of “special circumstances” (see inter alia, </w:t>
      </w:r>
      <w:r w:rsidRPr="0035352F">
        <w:rPr>
          <w:rFonts w:ascii="Bookman Old Style" w:eastAsia="Times New Roman" w:hAnsi="Bookman Old Style" w:cs="Times New Roman"/>
          <w:b/>
          <w:bCs/>
          <w:i/>
          <w:iCs/>
          <w:sz w:val="24"/>
          <w:szCs w:val="24"/>
          <w:u w:val="single"/>
          <w:lang w:eastAsia="en-ZA"/>
        </w:rPr>
        <w:t xml:space="preserve">Adams V </w:t>
      </w:r>
      <w:proofErr w:type="spellStart"/>
      <w:r w:rsidRPr="0035352F">
        <w:rPr>
          <w:rFonts w:ascii="Bookman Old Style" w:eastAsia="Times New Roman" w:hAnsi="Bookman Old Style" w:cs="Times New Roman"/>
          <w:b/>
          <w:bCs/>
          <w:i/>
          <w:iCs/>
          <w:sz w:val="24"/>
          <w:szCs w:val="24"/>
          <w:u w:val="single"/>
          <w:lang w:eastAsia="en-ZA"/>
        </w:rPr>
        <w:t>Halling</w:t>
      </w:r>
      <w:proofErr w:type="spellEnd"/>
      <w:r w:rsidRPr="0035352F">
        <w:rPr>
          <w:rFonts w:ascii="Bookman Old Style" w:eastAsia="Times New Roman" w:hAnsi="Bookman Old Style" w:cs="Times New Roman"/>
          <w:b/>
          <w:bCs/>
          <w:i/>
          <w:iCs/>
          <w:sz w:val="24"/>
          <w:szCs w:val="24"/>
          <w:u w:val="single"/>
          <w:lang w:eastAsia="en-ZA"/>
        </w:rPr>
        <w:t xml:space="preserve">, 1932 T.P.D. 115; </w:t>
      </w:r>
      <w:r w:rsidRPr="0035352F">
        <w:rPr>
          <w:rFonts w:ascii="Bookman Old Style" w:eastAsia="Times New Roman" w:hAnsi="Bookman Old Style" w:cs="Times New Roman"/>
          <w:i/>
          <w:iCs/>
          <w:sz w:val="24"/>
          <w:szCs w:val="24"/>
          <w:lang w:eastAsia="en-ZA"/>
        </w:rPr>
        <w:t xml:space="preserve">and </w:t>
      </w:r>
      <w:r w:rsidRPr="0035352F">
        <w:rPr>
          <w:rFonts w:ascii="Bookman Old Style" w:eastAsia="Times New Roman" w:hAnsi="Bookman Old Style" w:cs="Times New Roman"/>
          <w:b/>
          <w:bCs/>
          <w:i/>
          <w:iCs/>
          <w:sz w:val="24"/>
          <w:szCs w:val="24"/>
          <w:u w:val="single"/>
          <w:lang w:eastAsia="en-ZA"/>
        </w:rPr>
        <w:t xml:space="preserve">Epstein V </w:t>
      </w:r>
      <w:proofErr w:type="spellStart"/>
      <w:r w:rsidRPr="0035352F">
        <w:rPr>
          <w:rFonts w:ascii="Bookman Old Style" w:eastAsia="Times New Roman" w:hAnsi="Bookman Old Style" w:cs="Times New Roman"/>
          <w:b/>
          <w:bCs/>
          <w:i/>
          <w:iCs/>
          <w:sz w:val="24"/>
          <w:szCs w:val="24"/>
          <w:u w:val="single"/>
          <w:lang w:eastAsia="en-ZA"/>
        </w:rPr>
        <w:t>Arenstein</w:t>
      </w:r>
      <w:proofErr w:type="spellEnd"/>
      <w:r w:rsidRPr="0035352F">
        <w:rPr>
          <w:rFonts w:ascii="Bookman Old Style" w:eastAsia="Times New Roman" w:hAnsi="Bookman Old Style" w:cs="Times New Roman"/>
          <w:b/>
          <w:bCs/>
          <w:i/>
          <w:iCs/>
          <w:sz w:val="24"/>
          <w:szCs w:val="24"/>
          <w:u w:val="single"/>
          <w:lang w:eastAsia="en-ZA"/>
        </w:rPr>
        <w:t xml:space="preserve"> and Another, 1942 W.L.D. 52 </w:t>
      </w:r>
      <w:r w:rsidRPr="0035352F">
        <w:rPr>
          <w:rFonts w:ascii="Bookman Old Style" w:eastAsia="Times New Roman" w:hAnsi="Bookman Old Style" w:cs="Times New Roman"/>
          <w:i/>
          <w:iCs/>
          <w:sz w:val="24"/>
          <w:szCs w:val="24"/>
          <w:lang w:eastAsia="en-ZA"/>
        </w:rPr>
        <w:t xml:space="preserve">at p. 61). Furthermore in </w:t>
      </w:r>
      <w:proofErr w:type="spellStart"/>
      <w:r w:rsidRPr="0035352F">
        <w:rPr>
          <w:rFonts w:ascii="Bookman Old Style" w:eastAsia="Times New Roman" w:hAnsi="Bookman Old Style" w:cs="Times New Roman"/>
          <w:b/>
          <w:bCs/>
          <w:i/>
          <w:iCs/>
          <w:sz w:val="24"/>
          <w:szCs w:val="24"/>
          <w:u w:val="single"/>
          <w:lang w:eastAsia="en-ZA"/>
        </w:rPr>
        <w:t>Deintje</w:t>
      </w:r>
      <w:proofErr w:type="spellEnd"/>
      <w:r w:rsidRPr="0035352F">
        <w:rPr>
          <w:rFonts w:ascii="Bookman Old Style" w:eastAsia="Times New Roman" w:hAnsi="Bookman Old Style" w:cs="Times New Roman"/>
          <w:b/>
          <w:bCs/>
          <w:i/>
          <w:iCs/>
          <w:sz w:val="24"/>
          <w:szCs w:val="24"/>
          <w:u w:val="single"/>
          <w:lang w:eastAsia="en-ZA"/>
        </w:rPr>
        <w:t xml:space="preserve"> V </w:t>
      </w:r>
      <w:proofErr w:type="spellStart"/>
      <w:r w:rsidRPr="0035352F">
        <w:rPr>
          <w:rFonts w:ascii="Bookman Old Style" w:eastAsia="Times New Roman" w:hAnsi="Bookman Old Style" w:cs="Times New Roman"/>
          <w:b/>
          <w:bCs/>
          <w:i/>
          <w:iCs/>
          <w:sz w:val="24"/>
          <w:szCs w:val="24"/>
          <w:u w:val="single"/>
          <w:lang w:eastAsia="en-ZA"/>
        </w:rPr>
        <w:t>Gratus</w:t>
      </w:r>
      <w:proofErr w:type="spellEnd"/>
      <w:r w:rsidRPr="0035352F">
        <w:rPr>
          <w:rFonts w:ascii="Bookman Old Style" w:eastAsia="Times New Roman" w:hAnsi="Bookman Old Style" w:cs="Times New Roman"/>
          <w:b/>
          <w:bCs/>
          <w:i/>
          <w:iCs/>
          <w:sz w:val="24"/>
          <w:szCs w:val="24"/>
          <w:u w:val="single"/>
          <w:lang w:eastAsia="en-ZA"/>
        </w:rPr>
        <w:t xml:space="preserve"> and </w:t>
      </w:r>
      <w:proofErr w:type="spellStart"/>
      <w:r w:rsidRPr="0035352F">
        <w:rPr>
          <w:rFonts w:ascii="Bookman Old Style" w:eastAsia="Times New Roman" w:hAnsi="Bookman Old Style" w:cs="Times New Roman"/>
          <w:b/>
          <w:bCs/>
          <w:i/>
          <w:iCs/>
          <w:sz w:val="24"/>
          <w:szCs w:val="24"/>
          <w:u w:val="single"/>
          <w:lang w:eastAsia="en-ZA"/>
        </w:rPr>
        <w:t>Gratus</w:t>
      </w:r>
      <w:proofErr w:type="spellEnd"/>
      <w:r w:rsidRPr="0035352F">
        <w:rPr>
          <w:rFonts w:ascii="Bookman Old Style" w:eastAsia="Times New Roman" w:hAnsi="Bookman Old Style" w:cs="Times New Roman"/>
          <w:b/>
          <w:bCs/>
          <w:i/>
          <w:iCs/>
          <w:sz w:val="24"/>
          <w:szCs w:val="24"/>
          <w:u w:val="single"/>
          <w:lang w:eastAsia="en-ZA"/>
        </w:rPr>
        <w:t xml:space="preserve">, 1929 A.D. 1 </w:t>
      </w:r>
      <w:r w:rsidRPr="0035352F">
        <w:rPr>
          <w:rFonts w:ascii="Bookman Old Style" w:eastAsia="Times New Roman" w:hAnsi="Bookman Old Style" w:cs="Times New Roman"/>
          <w:i/>
          <w:iCs/>
          <w:sz w:val="24"/>
          <w:szCs w:val="24"/>
          <w:lang w:eastAsia="en-ZA"/>
        </w:rPr>
        <w:t>at p. 6, it was said that:-</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t xml:space="preserve">‘Now as the Appellant asks for indulgence to allow him to lead fresh evidence, the </w:t>
      </w:r>
      <w:r w:rsidRPr="0035352F">
        <w:rPr>
          <w:rFonts w:ascii="Bookman Old Style" w:eastAsia="Times New Roman" w:hAnsi="Bookman Old Style" w:cs="Times New Roman"/>
          <w:b/>
          <w:bCs/>
          <w:i/>
          <w:iCs/>
          <w:sz w:val="24"/>
          <w:szCs w:val="24"/>
          <w:lang w:eastAsia="en-ZA"/>
        </w:rPr>
        <w:t xml:space="preserve">onus </w:t>
      </w:r>
      <w:r w:rsidRPr="0035352F">
        <w:rPr>
          <w:rFonts w:ascii="Bookman Old Style" w:eastAsia="Times New Roman" w:hAnsi="Bookman Old Style" w:cs="Times New Roman"/>
          <w:i/>
          <w:iCs/>
          <w:sz w:val="24"/>
          <w:szCs w:val="24"/>
          <w:lang w:eastAsia="en-ZA"/>
        </w:rPr>
        <w:t>is upon him to show that he has used proper diligence – reasonable diligence in not presenting evidence at the trial that with due diligence might have been available. Whether he has done so must be gathered from the facts…’</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i/>
          <w:iCs/>
          <w:sz w:val="24"/>
          <w:szCs w:val="24"/>
          <w:lang w:eastAsia="en-ZA"/>
        </w:rPr>
        <w:t xml:space="preserve">In the instant case it is of course the respondent who seeks this indulgence but I think these remarks apply with equal force to him. In my view he </w:t>
      </w:r>
      <w:proofErr w:type="gramStart"/>
      <w:r w:rsidRPr="0035352F">
        <w:rPr>
          <w:rFonts w:ascii="Bookman Old Style" w:eastAsia="Times New Roman" w:hAnsi="Bookman Old Style" w:cs="Times New Roman"/>
          <w:i/>
          <w:iCs/>
          <w:sz w:val="24"/>
          <w:szCs w:val="24"/>
          <w:lang w:eastAsia="en-ZA"/>
        </w:rPr>
        <w:t>is responsible</w:t>
      </w:r>
      <w:proofErr w:type="gramEnd"/>
      <w:r w:rsidRPr="0035352F">
        <w:rPr>
          <w:rFonts w:ascii="Bookman Old Style" w:eastAsia="Times New Roman" w:hAnsi="Bookman Old Style" w:cs="Times New Roman"/>
          <w:i/>
          <w:iCs/>
          <w:sz w:val="24"/>
          <w:szCs w:val="24"/>
          <w:lang w:eastAsia="en-ZA"/>
        </w:rPr>
        <w:t xml:space="preserve"> to show the “special circumstances” warranting such a course; nor has he shown that he acted with due diligence. The necessary evidence was readily available to him. He could easily have proved the rental value of </w:t>
      </w:r>
      <w:proofErr w:type="spellStart"/>
      <w:r w:rsidRPr="0035352F">
        <w:rPr>
          <w:rFonts w:ascii="Bookman Old Style" w:eastAsia="Times New Roman" w:hAnsi="Bookman Old Style" w:cs="Times New Roman"/>
          <w:i/>
          <w:iCs/>
          <w:sz w:val="24"/>
          <w:szCs w:val="24"/>
          <w:lang w:eastAsia="en-ZA"/>
        </w:rPr>
        <w:t>erf</w:t>
      </w:r>
      <w:proofErr w:type="spellEnd"/>
      <w:r w:rsidRPr="0035352F">
        <w:rPr>
          <w:rFonts w:ascii="Bookman Old Style" w:eastAsia="Times New Roman" w:hAnsi="Bookman Old Style" w:cs="Times New Roman"/>
          <w:i/>
          <w:iCs/>
          <w:sz w:val="24"/>
          <w:szCs w:val="24"/>
          <w:lang w:eastAsia="en-ZA"/>
        </w:rPr>
        <w:t xml:space="preserve"> 1522, but he failed to do so. In my view the request to remit the case for the purpose mentioned must be refused.”</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[19] In my opinion the reasoning in that case applies here. The evidence as to the loss of profits allegedly suffered by the plaintiff was readily available.</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[20] In the light of these factors I cannot agree that special circumstances are present in the case. In view of the approach adopted by the defendants in this Court, where only the question of proof of damages was argued, it should not be necessary for the </w:t>
      </w:r>
      <w:r w:rsidRPr="0035352F">
        <w:rPr>
          <w:rFonts w:ascii="Bookman Old Style" w:eastAsia="Times New Roman" w:hAnsi="Bookman Old Style" w:cs="Times New Roman"/>
          <w:sz w:val="24"/>
          <w:szCs w:val="24"/>
          <w:lang w:eastAsia="en-ZA"/>
        </w:rPr>
        <w:lastRenderedPageBreak/>
        <w:t xml:space="preserve">plaintiff, if it sues again for the damages it allegedly suffered, to prove all the facts establishing the breach and refuting the defence unsuccessfully raised in the court below on the merits, which was not persisted in on appeal. It may happen once the documents evidencing the loss of profits are made available to the defendants that the matter will be settled. The </w:t>
      </w:r>
      <w:proofErr w:type="spellStart"/>
      <w:r w:rsidRPr="0035352F">
        <w:rPr>
          <w:rFonts w:ascii="Bookman Old Style" w:eastAsia="Times New Roman" w:hAnsi="Bookman Old Style" w:cs="Times New Roman"/>
          <w:b/>
          <w:bCs/>
          <w:sz w:val="24"/>
          <w:szCs w:val="24"/>
          <w:u w:val="single"/>
          <w:lang w:eastAsia="en-ZA"/>
        </w:rPr>
        <w:t>Maswanganyi</w:t>
      </w:r>
      <w:proofErr w:type="spellEnd"/>
      <w:r w:rsidRPr="0035352F">
        <w:rPr>
          <w:rFonts w:ascii="Bookman Old Style" w:eastAsia="Times New Roman" w:hAnsi="Bookman Old Style" w:cs="Times New Roman"/>
          <w:b/>
          <w:bCs/>
          <w:sz w:val="24"/>
          <w:szCs w:val="24"/>
          <w:lang w:eastAsia="en-ZA"/>
        </w:rPr>
        <w:t xml:space="preserve"> </w:t>
      </w:r>
      <w:r w:rsidRPr="0035352F">
        <w:rPr>
          <w:rFonts w:ascii="Bookman Old Style" w:eastAsia="Times New Roman" w:hAnsi="Bookman Old Style" w:cs="Times New Roman"/>
          <w:sz w:val="24"/>
          <w:szCs w:val="24"/>
          <w:lang w:eastAsia="en-ZA"/>
        </w:rPr>
        <w:t xml:space="preserve">case relied on by </w:t>
      </w:r>
      <w:r w:rsidRPr="0035352F">
        <w:rPr>
          <w:rFonts w:ascii="Bookman Old Style" w:eastAsia="Times New Roman" w:hAnsi="Bookman Old Style" w:cs="Times New Roman"/>
          <w:sz w:val="24"/>
          <w:szCs w:val="24"/>
          <w:u w:val="single"/>
          <w:lang w:eastAsia="en-ZA"/>
        </w:rPr>
        <w:t xml:space="preserve">Mr. Motsa </w:t>
      </w:r>
      <w:r w:rsidRPr="0035352F">
        <w:rPr>
          <w:rFonts w:ascii="Bookman Old Style" w:eastAsia="Times New Roman" w:hAnsi="Bookman Old Style" w:cs="Times New Roman"/>
          <w:sz w:val="24"/>
          <w:szCs w:val="24"/>
          <w:lang w:eastAsia="en-ZA"/>
        </w:rPr>
        <w:t xml:space="preserve">does not in my view lead to a contrary conclusion. As I have already pointed out, it will not be necessary in a fresh action for most of the evidence already given to be repeated – as would have been the case in the </w:t>
      </w:r>
      <w:proofErr w:type="spellStart"/>
      <w:r w:rsidRPr="0035352F">
        <w:rPr>
          <w:rFonts w:ascii="Bookman Old Style" w:eastAsia="Times New Roman" w:hAnsi="Bookman Old Style" w:cs="Times New Roman"/>
          <w:b/>
          <w:bCs/>
          <w:sz w:val="24"/>
          <w:szCs w:val="24"/>
          <w:u w:val="single"/>
          <w:lang w:eastAsia="en-ZA"/>
        </w:rPr>
        <w:t>Maswanganyi</w:t>
      </w:r>
      <w:proofErr w:type="spellEnd"/>
      <w:r w:rsidRPr="0035352F">
        <w:rPr>
          <w:rFonts w:ascii="Bookman Old Style" w:eastAsia="Times New Roman" w:hAnsi="Bookman Old Style" w:cs="Times New Roman"/>
          <w:b/>
          <w:bCs/>
          <w:sz w:val="24"/>
          <w:szCs w:val="24"/>
          <w:lang w:eastAsia="en-ZA"/>
        </w:rPr>
        <w:t xml:space="preserve"> </w:t>
      </w:r>
      <w:r w:rsidRPr="0035352F">
        <w:rPr>
          <w:rFonts w:ascii="Bookman Old Style" w:eastAsia="Times New Roman" w:hAnsi="Bookman Old Style" w:cs="Times New Roman"/>
          <w:sz w:val="24"/>
          <w:szCs w:val="24"/>
          <w:lang w:eastAsia="en-ZA"/>
        </w:rPr>
        <w:t>case, in which in any event the defendant’s counsel did not object to the remittal.</w:t>
      </w:r>
    </w:p>
    <w:p w:rsidR="0035352F" w:rsidRPr="0035352F" w:rsidRDefault="0035352F" w:rsidP="0035352F">
      <w:pPr>
        <w:spacing w:after="360" w:line="360" w:lineRule="auto"/>
        <w:ind w:left="72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[21] It follows from these considerations that the correct order should in the circumstances have been one of absolution from the instance. Accordingly the following order is made:-</w:t>
      </w:r>
    </w:p>
    <w:p w:rsidR="0035352F" w:rsidRPr="0035352F" w:rsidRDefault="0035352F" w:rsidP="0035352F">
      <w:pPr>
        <w:numPr>
          <w:ilvl w:val="0"/>
          <w:numId w:val="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The appeal is upheld with costs.</w:t>
      </w:r>
    </w:p>
    <w:p w:rsidR="0035352F" w:rsidRPr="0035352F" w:rsidRDefault="0035352F" w:rsidP="0035352F">
      <w:pPr>
        <w:numPr>
          <w:ilvl w:val="0"/>
          <w:numId w:val="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The order of the court </w:t>
      </w:r>
      <w:r w:rsidRPr="0035352F">
        <w:rPr>
          <w:rFonts w:ascii="Bookman Old Style" w:eastAsia="Times New Roman" w:hAnsi="Bookman Old Style" w:cs="Times New Roman"/>
          <w:i/>
          <w:iCs/>
          <w:sz w:val="24"/>
          <w:szCs w:val="24"/>
          <w:lang w:eastAsia="en-ZA"/>
        </w:rPr>
        <w:t xml:space="preserve">a quo </w:t>
      </w:r>
      <w:r w:rsidRPr="0035352F">
        <w:rPr>
          <w:rFonts w:ascii="Bookman Old Style" w:eastAsia="Times New Roman" w:hAnsi="Bookman Old Style" w:cs="Times New Roman"/>
          <w:sz w:val="24"/>
          <w:szCs w:val="24"/>
          <w:lang w:eastAsia="en-ZA"/>
        </w:rPr>
        <w:t>is set aside and is replaced with the following order:-</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“Absolution from the instance is granted with costs.”</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_________________________</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M.M. RAMODIBEDI</w:t>
      </w:r>
    </w:p>
    <w:p w:rsidR="0035352F" w:rsidRPr="0035352F" w:rsidRDefault="0035352F" w:rsidP="0035352F">
      <w:pPr>
        <w:spacing w:after="360" w:line="360" w:lineRule="auto"/>
        <w:ind w:left="1440"/>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CHIEF JUSTICE</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I agree _________________________</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DR. S. TWUM</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JUSTICE OF APPEAL</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I agree _________________________</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lastRenderedPageBreak/>
        <w:t>I.G. FARLAM</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JUSTICE OF APPEAL</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For Appellants: Mr. J.S. Magagula</w:t>
      </w:r>
    </w:p>
    <w:p w:rsidR="0035352F" w:rsidRPr="0035352F" w:rsidRDefault="0035352F" w:rsidP="0035352F">
      <w:pPr>
        <w:spacing w:after="360" w:line="360" w:lineRule="auto"/>
        <w:jc w:val="both"/>
        <w:rPr>
          <w:rFonts w:ascii="Bookman Old Style" w:eastAsia="Times New Roman" w:hAnsi="Bookman Old Style" w:cs="Times New Roman"/>
          <w:sz w:val="24"/>
          <w:szCs w:val="24"/>
          <w:lang w:eastAsia="en-ZA"/>
        </w:rPr>
      </w:pPr>
      <w:r w:rsidRPr="0035352F">
        <w:rPr>
          <w:rFonts w:ascii="Bookman Old Style" w:eastAsia="Times New Roman" w:hAnsi="Bookman Old Style" w:cs="Times New Roman"/>
          <w:sz w:val="24"/>
          <w:szCs w:val="24"/>
          <w:lang w:eastAsia="en-ZA"/>
        </w:rPr>
        <w:t xml:space="preserve">For Respondent: Mr. K. Motsa </w:t>
      </w:r>
    </w:p>
    <w:p w:rsidR="00697575" w:rsidRPr="0035352F" w:rsidRDefault="00697575" w:rsidP="0035352F">
      <w:pPr>
        <w:spacing w:line="360" w:lineRule="auto"/>
        <w:jc w:val="both"/>
        <w:rPr>
          <w:rFonts w:ascii="Bookman Old Style" w:hAnsi="Bookman Old Style"/>
          <w:sz w:val="24"/>
          <w:szCs w:val="24"/>
        </w:rPr>
      </w:pPr>
    </w:p>
    <w:sectPr w:rsidR="00697575" w:rsidRPr="00353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382"/>
    <w:multiLevelType w:val="multilevel"/>
    <w:tmpl w:val="C654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3C387A"/>
    <w:multiLevelType w:val="multilevel"/>
    <w:tmpl w:val="A69A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2F"/>
    <w:rsid w:val="00011C62"/>
    <w:rsid w:val="0006323D"/>
    <w:rsid w:val="001830D4"/>
    <w:rsid w:val="001C0547"/>
    <w:rsid w:val="002C2735"/>
    <w:rsid w:val="00312E8D"/>
    <w:rsid w:val="003236F6"/>
    <w:rsid w:val="0035352F"/>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352F"/>
    <w:rPr>
      <w:b/>
      <w:bCs/>
    </w:rPr>
  </w:style>
  <w:style w:type="paragraph" w:styleId="NormalWeb">
    <w:name w:val="Normal (Web)"/>
    <w:basedOn w:val="Normal"/>
    <w:uiPriority w:val="99"/>
    <w:semiHidden/>
    <w:unhideWhenUsed/>
    <w:rsid w:val="0035352F"/>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535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352F"/>
    <w:rPr>
      <w:b/>
      <w:bCs/>
    </w:rPr>
  </w:style>
  <w:style w:type="paragraph" w:styleId="NormalWeb">
    <w:name w:val="Normal (Web)"/>
    <w:basedOn w:val="Normal"/>
    <w:uiPriority w:val="99"/>
    <w:semiHidden/>
    <w:unhideWhenUsed/>
    <w:rsid w:val="0035352F"/>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53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6734">
      <w:bodyDiv w:val="1"/>
      <w:marLeft w:val="0"/>
      <w:marRight w:val="0"/>
      <w:marTop w:val="0"/>
      <w:marBottom w:val="0"/>
      <w:divBdr>
        <w:top w:val="none" w:sz="0" w:space="0" w:color="auto"/>
        <w:left w:val="none" w:sz="0" w:space="0" w:color="auto"/>
        <w:bottom w:val="none" w:sz="0" w:space="0" w:color="auto"/>
        <w:right w:val="none" w:sz="0" w:space="0" w:color="auto"/>
      </w:divBdr>
      <w:divsChild>
        <w:div w:id="553808745">
          <w:marLeft w:val="0"/>
          <w:marRight w:val="0"/>
          <w:marTop w:val="0"/>
          <w:marBottom w:val="0"/>
          <w:divBdr>
            <w:top w:val="none" w:sz="0" w:space="0" w:color="auto"/>
            <w:left w:val="none" w:sz="0" w:space="0" w:color="auto"/>
            <w:bottom w:val="none" w:sz="0" w:space="0" w:color="auto"/>
            <w:right w:val="none" w:sz="0" w:space="0" w:color="auto"/>
          </w:divBdr>
          <w:divsChild>
            <w:div w:id="461657865">
              <w:marLeft w:val="0"/>
              <w:marRight w:val="0"/>
              <w:marTop w:val="0"/>
              <w:marBottom w:val="0"/>
              <w:divBdr>
                <w:top w:val="none" w:sz="0" w:space="0" w:color="auto"/>
                <w:left w:val="none" w:sz="0" w:space="0" w:color="auto"/>
                <w:bottom w:val="none" w:sz="0" w:space="0" w:color="auto"/>
                <w:right w:val="none" w:sz="0" w:space="0" w:color="auto"/>
              </w:divBdr>
              <w:divsChild>
                <w:div w:id="951546181">
                  <w:marLeft w:val="0"/>
                  <w:marRight w:val="0"/>
                  <w:marTop w:val="0"/>
                  <w:marBottom w:val="0"/>
                  <w:divBdr>
                    <w:top w:val="none" w:sz="0" w:space="0" w:color="auto"/>
                    <w:left w:val="none" w:sz="0" w:space="0" w:color="auto"/>
                    <w:bottom w:val="none" w:sz="0" w:space="0" w:color="auto"/>
                    <w:right w:val="none" w:sz="0" w:space="0" w:color="auto"/>
                  </w:divBdr>
                  <w:divsChild>
                    <w:div w:id="1825513649">
                      <w:marLeft w:val="0"/>
                      <w:marRight w:val="0"/>
                      <w:marTop w:val="0"/>
                      <w:marBottom w:val="0"/>
                      <w:divBdr>
                        <w:top w:val="none" w:sz="0" w:space="0" w:color="auto"/>
                        <w:left w:val="none" w:sz="0" w:space="0" w:color="auto"/>
                        <w:bottom w:val="none" w:sz="0" w:space="0" w:color="auto"/>
                        <w:right w:val="none" w:sz="0" w:space="0" w:color="auto"/>
                      </w:divBdr>
                      <w:divsChild>
                        <w:div w:id="372849444">
                          <w:marLeft w:val="0"/>
                          <w:marRight w:val="0"/>
                          <w:marTop w:val="0"/>
                          <w:marBottom w:val="300"/>
                          <w:divBdr>
                            <w:top w:val="single" w:sz="2" w:space="0" w:color="CCCCCC"/>
                            <w:left w:val="single" w:sz="6" w:space="0" w:color="CCCCCC"/>
                            <w:bottom w:val="single" w:sz="6" w:space="0" w:color="CCCCCC"/>
                            <w:right w:val="single" w:sz="6" w:space="0" w:color="CCCCCC"/>
                          </w:divBdr>
                          <w:divsChild>
                            <w:div w:id="2043241333">
                              <w:marLeft w:val="0"/>
                              <w:marRight w:val="0"/>
                              <w:marTop w:val="0"/>
                              <w:marBottom w:val="0"/>
                              <w:divBdr>
                                <w:top w:val="none" w:sz="0" w:space="0" w:color="auto"/>
                                <w:left w:val="none" w:sz="0" w:space="0" w:color="auto"/>
                                <w:bottom w:val="none" w:sz="0" w:space="0" w:color="auto"/>
                                <w:right w:val="none" w:sz="0" w:space="0" w:color="auto"/>
                              </w:divBdr>
                              <w:divsChild>
                                <w:div w:id="103890057">
                                  <w:marLeft w:val="0"/>
                                  <w:marRight w:val="0"/>
                                  <w:marTop w:val="0"/>
                                  <w:marBottom w:val="0"/>
                                  <w:divBdr>
                                    <w:top w:val="none" w:sz="0" w:space="0" w:color="auto"/>
                                    <w:left w:val="none" w:sz="0" w:space="0" w:color="auto"/>
                                    <w:bottom w:val="none" w:sz="0" w:space="0" w:color="auto"/>
                                    <w:right w:val="none" w:sz="0" w:space="0" w:color="auto"/>
                                  </w:divBdr>
                                  <w:divsChild>
                                    <w:div w:id="2107655923">
                                      <w:marLeft w:val="0"/>
                                      <w:marRight w:val="-100"/>
                                      <w:marTop w:val="0"/>
                                      <w:marBottom w:val="0"/>
                                      <w:divBdr>
                                        <w:top w:val="none" w:sz="0" w:space="0" w:color="auto"/>
                                        <w:left w:val="none" w:sz="0" w:space="0" w:color="auto"/>
                                        <w:bottom w:val="none" w:sz="0" w:space="0" w:color="auto"/>
                                        <w:right w:val="none" w:sz="0" w:space="0" w:color="auto"/>
                                      </w:divBdr>
                                      <w:divsChild>
                                        <w:div w:id="1766536642">
                                          <w:marLeft w:val="0"/>
                                          <w:marRight w:val="0"/>
                                          <w:marTop w:val="0"/>
                                          <w:marBottom w:val="0"/>
                                          <w:divBdr>
                                            <w:top w:val="none" w:sz="0" w:space="0" w:color="auto"/>
                                            <w:left w:val="none" w:sz="0" w:space="0" w:color="auto"/>
                                            <w:bottom w:val="none" w:sz="0" w:space="0" w:color="auto"/>
                                            <w:right w:val="none" w:sz="0" w:space="0" w:color="auto"/>
                                          </w:divBdr>
                                          <w:divsChild>
                                            <w:div w:id="359672914">
                                              <w:marLeft w:val="0"/>
                                              <w:marRight w:val="0"/>
                                              <w:marTop w:val="0"/>
                                              <w:marBottom w:val="0"/>
                                              <w:divBdr>
                                                <w:top w:val="none" w:sz="0" w:space="0" w:color="auto"/>
                                                <w:left w:val="none" w:sz="0" w:space="0" w:color="auto"/>
                                                <w:bottom w:val="none" w:sz="0" w:space="0" w:color="auto"/>
                                                <w:right w:val="none" w:sz="0" w:space="0" w:color="auto"/>
                                              </w:divBdr>
                                              <w:divsChild>
                                                <w:div w:id="1120297911">
                                                  <w:marLeft w:val="0"/>
                                                  <w:marRight w:val="0"/>
                                                  <w:marTop w:val="0"/>
                                                  <w:marBottom w:val="0"/>
                                                  <w:divBdr>
                                                    <w:top w:val="none" w:sz="0" w:space="0" w:color="auto"/>
                                                    <w:left w:val="none" w:sz="0" w:space="0" w:color="auto"/>
                                                    <w:bottom w:val="none" w:sz="0" w:space="0" w:color="auto"/>
                                                    <w:right w:val="none" w:sz="0" w:space="0" w:color="auto"/>
                                                  </w:divBdr>
                                                  <w:divsChild>
                                                    <w:div w:id="886255481">
                                                      <w:marLeft w:val="0"/>
                                                      <w:marRight w:val="0"/>
                                                      <w:marTop w:val="0"/>
                                                      <w:marBottom w:val="0"/>
                                                      <w:divBdr>
                                                        <w:top w:val="none" w:sz="0" w:space="0" w:color="auto"/>
                                                        <w:left w:val="none" w:sz="0" w:space="0" w:color="auto"/>
                                                        <w:bottom w:val="none" w:sz="0" w:space="0" w:color="auto"/>
                                                        <w:right w:val="none" w:sz="0" w:space="0" w:color="auto"/>
                                                      </w:divBdr>
                                                      <w:divsChild>
                                                        <w:div w:id="558247177">
                                                          <w:marLeft w:val="0"/>
                                                          <w:marRight w:val="0"/>
                                                          <w:marTop w:val="0"/>
                                                          <w:marBottom w:val="0"/>
                                                          <w:divBdr>
                                                            <w:top w:val="none" w:sz="0" w:space="0" w:color="auto"/>
                                                            <w:left w:val="none" w:sz="0" w:space="0" w:color="auto"/>
                                                            <w:bottom w:val="none" w:sz="0" w:space="0" w:color="auto"/>
                                                            <w:right w:val="none" w:sz="0" w:space="0" w:color="auto"/>
                                                          </w:divBdr>
                                                          <w:divsChild>
                                                            <w:div w:id="1389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2012-07-09T13:13:00Z</dcterms:created>
  <dcterms:modified xsi:type="dcterms:W3CDTF">2012-07-09T13:17:00Z</dcterms:modified>
</cp:coreProperties>
</file>