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B4" w:rsidRPr="00CE0DB4" w:rsidRDefault="00CE0DB4" w:rsidP="00CE0DB4">
      <w:pPr>
        <w:pStyle w:val="NormalWeb"/>
        <w:spacing w:line="360" w:lineRule="auto"/>
        <w:jc w:val="both"/>
        <w:rPr>
          <w:rFonts w:ascii="Bookman Old Style" w:hAnsi="Bookman Old Style"/>
          <w:lang/>
        </w:rPr>
      </w:pPr>
      <w:r w:rsidRPr="00CE0DB4">
        <w:rPr>
          <w:rFonts w:ascii="Bookman Old Style" w:hAnsi="Bookman Old Style"/>
          <w:noProof/>
        </w:rPr>
        <mc:AlternateContent>
          <mc:Choice Requires="wps">
            <w:drawing>
              <wp:inline distT="0" distB="0" distL="0" distR="0" wp14:anchorId="0AE0ED86" wp14:editId="7204DE4E">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CE0DB4" w:rsidRPr="00CE0DB4" w:rsidRDefault="00CE0DB4" w:rsidP="00CE0DB4">
      <w:pPr>
        <w:pStyle w:val="NormalWeb"/>
        <w:spacing w:line="360" w:lineRule="auto"/>
        <w:jc w:val="center"/>
        <w:rPr>
          <w:rFonts w:ascii="Bookman Old Style" w:hAnsi="Bookman Old Style"/>
          <w:lang/>
        </w:rPr>
      </w:pPr>
      <w:r w:rsidRPr="00CE0DB4">
        <w:rPr>
          <w:rStyle w:val="Strong"/>
          <w:rFonts w:ascii="Bookman Old Style" w:hAnsi="Bookman Old Style"/>
          <w:u w:val="single"/>
          <w:lang/>
        </w:rPr>
        <w:t>IN THE SUPREME COURT OF SWAZILAND</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u w:val="single"/>
          <w:lang/>
        </w:rPr>
        <w:t>HELD AT MBABANE</w:t>
      </w:r>
      <w:r w:rsidRPr="00CE0DB4">
        <w:rPr>
          <w:rStyle w:val="Strong"/>
          <w:rFonts w:ascii="Bookman Old Style" w:hAnsi="Bookman Old Style"/>
          <w:lang/>
        </w:rPr>
        <w:t xml:space="preserve"> </w:t>
      </w:r>
      <w:r w:rsidRPr="00CE0DB4">
        <w:rPr>
          <w:rStyle w:val="Strong"/>
          <w:rFonts w:ascii="Bookman Old Style" w:hAnsi="Bookman Old Style"/>
          <w:lang/>
        </w:rPr>
        <w:t xml:space="preserve">                  </w:t>
      </w:r>
      <w:r>
        <w:rPr>
          <w:rStyle w:val="Strong"/>
          <w:rFonts w:ascii="Bookman Old Style" w:hAnsi="Bookman Old Style"/>
          <w:lang/>
        </w:rPr>
        <w:t xml:space="preserve">                           </w:t>
      </w:r>
      <w:r w:rsidRPr="00CE0DB4">
        <w:rPr>
          <w:rStyle w:val="Strong"/>
          <w:rFonts w:ascii="Bookman Old Style" w:hAnsi="Bookman Old Style"/>
          <w:u w:val="single"/>
          <w:lang/>
        </w:rPr>
        <w:t>APPEAL NO.69/2009</w:t>
      </w:r>
    </w:p>
    <w:p w:rsidR="00CE0DB4" w:rsidRPr="00CE0DB4" w:rsidRDefault="00CE0DB4" w:rsidP="00CE0DB4">
      <w:pPr>
        <w:pStyle w:val="NormalWeb"/>
        <w:spacing w:line="360" w:lineRule="auto"/>
        <w:jc w:val="both"/>
        <w:rPr>
          <w:rFonts w:ascii="Bookman Old Style" w:hAnsi="Bookman Old Style"/>
          <w:lang/>
        </w:rPr>
      </w:pPr>
      <w:r w:rsidRPr="00CE0DB4">
        <w:rPr>
          <w:rFonts w:ascii="Bookman Old Style" w:hAnsi="Bookman Old Style"/>
          <w:lang/>
        </w:rPr>
        <w:t>In the matter between</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 xml:space="preserve">PETERS TRANSPORT (PTY) LTD </w:t>
      </w:r>
      <w:r w:rsidRPr="00CE0DB4">
        <w:rPr>
          <w:rStyle w:val="Strong"/>
          <w:rFonts w:ascii="Bookman Old Style" w:hAnsi="Bookman Old Style"/>
          <w:lang/>
        </w:rPr>
        <w:t xml:space="preserve">                             </w:t>
      </w:r>
      <w:r>
        <w:rPr>
          <w:rStyle w:val="Strong"/>
          <w:rFonts w:ascii="Bookman Old Style" w:hAnsi="Bookman Old Style"/>
          <w:lang/>
        </w:rPr>
        <w:t xml:space="preserve">         </w:t>
      </w:r>
      <w:r w:rsidRPr="00CE0DB4">
        <w:rPr>
          <w:rStyle w:val="Strong"/>
          <w:rFonts w:ascii="Bookman Old Style" w:hAnsi="Bookman Old Style"/>
          <w:lang/>
        </w:rPr>
        <w:t xml:space="preserve"> </w:t>
      </w:r>
      <w:r w:rsidRPr="00CE0DB4">
        <w:rPr>
          <w:rStyle w:val="Strong"/>
          <w:rFonts w:ascii="Bookman Old Style" w:hAnsi="Bookman Old Style"/>
          <w:lang/>
        </w:rPr>
        <w:t>APPELLANT</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AND 70 OTHERS</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 xml:space="preserve">AND </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 xml:space="preserve">MUNICIPAL COUNCIL OF MANZINI </w:t>
      </w:r>
      <w:r w:rsidRPr="00CE0DB4">
        <w:rPr>
          <w:rFonts w:ascii="Bookman Old Style" w:hAnsi="Bookman Old Style"/>
          <w:lang/>
        </w:rPr>
        <w:t xml:space="preserve"> </w:t>
      </w:r>
      <w:r w:rsidRPr="00CE0DB4">
        <w:rPr>
          <w:rStyle w:val="Strong"/>
          <w:rFonts w:ascii="Bookman Old Style" w:hAnsi="Bookman Old Style"/>
          <w:lang/>
        </w:rPr>
        <w:t>AND 6 OTHERS</w:t>
      </w:r>
      <w:r w:rsidRPr="00CE0DB4">
        <w:rPr>
          <w:rStyle w:val="Strong"/>
          <w:rFonts w:ascii="Bookman Old Style" w:hAnsi="Bookman Old Style"/>
          <w:lang/>
        </w:rPr>
        <w:t xml:space="preserve">  </w:t>
      </w:r>
      <w:r w:rsidRPr="00CE0DB4">
        <w:rPr>
          <w:rStyle w:val="Strong"/>
          <w:rFonts w:ascii="Bookman Old Style" w:hAnsi="Bookman Old Style"/>
          <w:lang/>
        </w:rPr>
        <w:t xml:space="preserve"> </w:t>
      </w:r>
      <w:r>
        <w:rPr>
          <w:rStyle w:val="Strong"/>
          <w:rFonts w:ascii="Bookman Old Style" w:hAnsi="Bookman Old Style"/>
          <w:lang/>
        </w:rPr>
        <w:t xml:space="preserve"> </w:t>
      </w:r>
      <w:bookmarkStart w:id="0" w:name="_GoBack"/>
      <w:bookmarkEnd w:id="0"/>
      <w:r w:rsidRPr="00CE0DB4">
        <w:rPr>
          <w:rStyle w:val="Strong"/>
          <w:rFonts w:ascii="Bookman Old Style" w:hAnsi="Bookman Old Style"/>
          <w:lang/>
        </w:rPr>
        <w:t>1</w:t>
      </w:r>
      <w:r w:rsidRPr="00CE0DB4">
        <w:rPr>
          <w:rStyle w:val="Strong"/>
          <w:rFonts w:ascii="Bookman Old Style" w:hAnsi="Bookman Old Style"/>
          <w:vertAlign w:val="superscript"/>
          <w:lang/>
        </w:rPr>
        <w:t>ST</w:t>
      </w:r>
      <w:r w:rsidRPr="00CE0DB4">
        <w:rPr>
          <w:rStyle w:val="Strong"/>
          <w:rFonts w:ascii="Bookman Old Style" w:hAnsi="Bookman Old Style"/>
          <w:lang/>
        </w:rPr>
        <w:t xml:space="preserve"> RESPONDENT</w:t>
      </w:r>
    </w:p>
    <w:p w:rsidR="00CE0DB4" w:rsidRPr="00CE0DB4" w:rsidRDefault="00CE0DB4" w:rsidP="00CE0DB4">
      <w:pPr>
        <w:pStyle w:val="NormalWeb"/>
        <w:spacing w:line="360" w:lineRule="auto"/>
        <w:jc w:val="both"/>
        <w:rPr>
          <w:rStyle w:val="Strong"/>
          <w:rFonts w:ascii="Bookman Old Style" w:hAnsi="Bookman Old Style"/>
          <w:lang/>
        </w:rPr>
      </w:pPr>
      <w:r w:rsidRPr="00CE0DB4">
        <w:rPr>
          <w:rStyle w:val="Strong"/>
          <w:rFonts w:ascii="Bookman Old Style" w:hAnsi="Bookman Old Style"/>
          <w:lang/>
        </w:rPr>
        <w:t xml:space="preserve">CORAM: M.M.RAMODIBEDI CJ, </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 xml:space="preserve">                   </w:t>
      </w:r>
      <w:r w:rsidRPr="00CE0DB4">
        <w:rPr>
          <w:rStyle w:val="Strong"/>
          <w:rFonts w:ascii="Bookman Old Style" w:hAnsi="Bookman Old Style"/>
          <w:lang/>
        </w:rPr>
        <w:t xml:space="preserve">S.A. MOORE </w:t>
      </w:r>
      <w:proofErr w:type="gramStart"/>
      <w:r w:rsidRPr="00CE0DB4">
        <w:rPr>
          <w:rStyle w:val="Strong"/>
          <w:rFonts w:ascii="Bookman Old Style" w:hAnsi="Bookman Old Style"/>
          <w:lang/>
        </w:rPr>
        <w:t>et</w:t>
      </w:r>
      <w:proofErr w:type="gramEnd"/>
      <w:r w:rsidRPr="00CE0DB4">
        <w:rPr>
          <w:rStyle w:val="Strong"/>
          <w:rFonts w:ascii="Bookman Old Style" w:hAnsi="Bookman Old Style"/>
          <w:lang/>
        </w:rPr>
        <w:t xml:space="preserve"> </w:t>
      </w:r>
    </w:p>
    <w:p w:rsidR="00CE0DB4" w:rsidRPr="00CE0DB4" w:rsidRDefault="00CE0DB4" w:rsidP="00CE0DB4">
      <w:pPr>
        <w:pStyle w:val="NormalWeb"/>
        <w:spacing w:line="360" w:lineRule="auto"/>
        <w:ind w:left="1440"/>
        <w:jc w:val="both"/>
        <w:rPr>
          <w:rFonts w:ascii="Bookman Old Style" w:hAnsi="Bookman Old Style"/>
          <w:lang/>
        </w:rPr>
      </w:pPr>
      <w:r w:rsidRPr="00CE0DB4">
        <w:rPr>
          <w:rStyle w:val="Strong"/>
          <w:rFonts w:ascii="Bookman Old Style" w:hAnsi="Bookman Old Style"/>
          <w:lang/>
        </w:rPr>
        <w:t>I.G. FARLAM JJA</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HEARD: 20 MAY 2010</w:t>
      </w:r>
    </w:p>
    <w:p w:rsidR="00CE0DB4" w:rsidRPr="00CE0DB4" w:rsidRDefault="00CE0DB4" w:rsidP="00CE0DB4">
      <w:pPr>
        <w:pStyle w:val="NormalWeb"/>
        <w:spacing w:line="360" w:lineRule="auto"/>
        <w:jc w:val="both"/>
        <w:rPr>
          <w:rFonts w:ascii="Bookman Old Style" w:hAnsi="Bookman Old Style"/>
          <w:lang/>
        </w:rPr>
      </w:pPr>
      <w:r w:rsidRPr="00CE0DB4">
        <w:rPr>
          <w:rStyle w:val="Strong"/>
          <w:rFonts w:ascii="Bookman Old Style" w:hAnsi="Bookman Old Style"/>
          <w:lang/>
        </w:rPr>
        <w:t xml:space="preserve">DELIVERED: </w:t>
      </w:r>
    </w:p>
    <w:p w:rsidR="00CE0DB4" w:rsidRPr="00CE0DB4" w:rsidRDefault="00CE0DB4" w:rsidP="00CE0DB4">
      <w:pPr>
        <w:pStyle w:val="NormalWeb"/>
        <w:spacing w:line="360" w:lineRule="auto"/>
        <w:ind w:left="1627"/>
        <w:jc w:val="both"/>
        <w:rPr>
          <w:rFonts w:ascii="Bookman Old Style" w:hAnsi="Bookman Old Style"/>
          <w:lang/>
        </w:rPr>
      </w:pPr>
      <w:r w:rsidRPr="00CE0DB4">
        <w:rPr>
          <w:rStyle w:val="Emphasis"/>
          <w:rFonts w:ascii="Bookman Old Style" w:hAnsi="Bookman Old Style"/>
          <w:b/>
          <w:bCs/>
          <w:lang/>
        </w:rPr>
        <w:t>COURT ORDER AGAINST PARTIES WITH NO LOCUS STANDI</w:t>
      </w:r>
    </w:p>
    <w:p w:rsidR="00CE0DB4" w:rsidRPr="00CE0DB4" w:rsidRDefault="00CE0DB4" w:rsidP="00CE0DB4">
      <w:pPr>
        <w:pStyle w:val="NormalWeb"/>
        <w:spacing w:line="360" w:lineRule="auto"/>
        <w:ind w:left="1440"/>
        <w:jc w:val="both"/>
        <w:rPr>
          <w:rFonts w:ascii="Bookman Old Style" w:hAnsi="Bookman Old Style"/>
          <w:lang/>
        </w:rPr>
      </w:pPr>
      <w:r w:rsidRPr="00CE0DB4">
        <w:rPr>
          <w:rStyle w:val="Strong"/>
          <w:rFonts w:ascii="Bookman Old Style" w:hAnsi="Bookman Old Style"/>
          <w:u w:val="single"/>
          <w:lang/>
        </w:rPr>
        <w:t>I.G. FARLAM JA</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[1] </w:t>
      </w:r>
      <w:r w:rsidRPr="00CE0DB4">
        <w:rPr>
          <w:rStyle w:val="Emphasis"/>
          <w:rFonts w:ascii="Bookman Old Style" w:hAnsi="Bookman Old Style"/>
          <w:lang/>
        </w:rPr>
        <w:t xml:space="preserve">“[D] e jure the insolvent estate was not before the court and did not litigate and cannot be ordered to pay costs. The right persons to be mulcted in costs for the abortive application are the trustees who purported to bring it on behalf of the insolvent estate without right or </w:t>
      </w:r>
      <w:r w:rsidRPr="00CE0DB4">
        <w:rPr>
          <w:rStyle w:val="Emphasis"/>
          <w:rFonts w:ascii="Bookman Old Style" w:hAnsi="Bookman Old Style"/>
          <w:lang/>
        </w:rPr>
        <w:lastRenderedPageBreak/>
        <w:t xml:space="preserve">authority to do so. This seems to me logically inescapable. It was also the approach of the court in </w:t>
      </w:r>
      <w:r w:rsidRPr="00CE0DB4">
        <w:rPr>
          <w:rStyle w:val="Strong"/>
          <w:rFonts w:ascii="Bookman Old Style" w:hAnsi="Bookman Old Style"/>
          <w:i/>
          <w:iCs/>
          <w:lang/>
        </w:rPr>
        <w:t>Ashley v SA Prudential Ltd 1929 PD 283”.</w:t>
      </w:r>
    </w:p>
    <w:p w:rsidR="00CE0DB4" w:rsidRPr="00CE0DB4" w:rsidRDefault="00CE0DB4" w:rsidP="00CE0DB4">
      <w:pPr>
        <w:pStyle w:val="NormalWeb"/>
        <w:spacing w:line="360" w:lineRule="auto"/>
        <w:ind w:left="720"/>
        <w:jc w:val="both"/>
        <w:rPr>
          <w:rFonts w:ascii="Bookman Old Style" w:hAnsi="Bookman Old Style"/>
          <w:lang/>
        </w:rPr>
      </w:pPr>
      <w:proofErr w:type="gramStart"/>
      <w:r w:rsidRPr="00CE0DB4">
        <w:rPr>
          <w:rFonts w:ascii="Bookman Old Style" w:hAnsi="Bookman Old Style"/>
          <w:lang/>
        </w:rPr>
        <w:t xml:space="preserve">In present case proceedings instituted by Jacob </w:t>
      </w:r>
      <w:proofErr w:type="spellStart"/>
      <w:r w:rsidRPr="00CE0DB4">
        <w:rPr>
          <w:rFonts w:ascii="Bookman Old Style" w:hAnsi="Bookman Old Style"/>
          <w:lang/>
        </w:rPr>
        <w:t>Mashaba</w:t>
      </w:r>
      <w:proofErr w:type="spellEnd"/>
      <w:r w:rsidRPr="00CE0DB4">
        <w:rPr>
          <w:rFonts w:ascii="Bookman Old Style" w:hAnsi="Bookman Old Style"/>
          <w:lang/>
        </w:rPr>
        <w:t>.</w:t>
      </w:r>
      <w:proofErr w:type="gramEnd"/>
      <w:r w:rsidRPr="00CE0DB4">
        <w:rPr>
          <w:rFonts w:ascii="Bookman Old Style" w:hAnsi="Bookman Old Style"/>
          <w:lang/>
        </w:rPr>
        <w:t xml:space="preserve"> He is proper person to be ordered to pay the costs: </w:t>
      </w:r>
      <w:proofErr w:type="spellStart"/>
      <w:r w:rsidRPr="00CE0DB4">
        <w:rPr>
          <w:rStyle w:val="Emphasis"/>
          <w:rFonts w:ascii="Bookman Old Style" w:hAnsi="Bookman Old Style"/>
          <w:b/>
          <w:bCs/>
          <w:lang/>
        </w:rPr>
        <w:t>Blon</w:t>
      </w:r>
      <w:proofErr w:type="spellEnd"/>
      <w:r w:rsidRPr="00CE0DB4">
        <w:rPr>
          <w:rFonts w:ascii="Bookman Old Style" w:hAnsi="Bookman Old Style"/>
          <w:lang/>
        </w:rPr>
        <w:t xml:space="preserve"> case at 14 E – F.</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[2] </w:t>
      </w:r>
      <w:r w:rsidRPr="00CE0DB4">
        <w:rPr>
          <w:rStyle w:val="Emphasis"/>
          <w:rFonts w:ascii="Bookman Old Style" w:hAnsi="Bookman Old Style"/>
          <w:b/>
          <w:bCs/>
          <w:lang/>
        </w:rPr>
        <w:t xml:space="preserve">Attorney and Own </w:t>
      </w:r>
      <w:proofErr w:type="spellStart"/>
      <w:r w:rsidRPr="00CE0DB4">
        <w:rPr>
          <w:rStyle w:val="Emphasis"/>
          <w:rFonts w:ascii="Bookman Old Style" w:hAnsi="Bookman Old Style"/>
          <w:b/>
          <w:bCs/>
          <w:lang/>
        </w:rPr>
        <w:t>Blient</w:t>
      </w:r>
      <w:proofErr w:type="spellEnd"/>
      <w:r>
        <w:rPr>
          <w:rStyle w:val="Emphasis"/>
          <w:rFonts w:ascii="Bookman Old Style" w:hAnsi="Bookman Old Style"/>
          <w:b/>
          <w:bCs/>
          <w:lang/>
        </w:rPr>
        <w:t xml:space="preserve"> </w:t>
      </w:r>
      <w:r w:rsidRPr="00CE0DB4">
        <w:rPr>
          <w:rFonts w:ascii="Bookman Old Style" w:hAnsi="Bookman Old Style"/>
          <w:lang/>
        </w:rPr>
        <w:t xml:space="preserve">not generically different from award on attorney and client scale Law Society of the Cape of Good Hope v </w:t>
      </w:r>
      <w:proofErr w:type="spellStart"/>
      <w:r w:rsidRPr="00CE0DB4">
        <w:rPr>
          <w:rFonts w:ascii="Bookman Old Style" w:hAnsi="Bookman Old Style"/>
          <w:lang/>
        </w:rPr>
        <w:t>Windvogel</w:t>
      </w:r>
      <w:proofErr w:type="spellEnd"/>
      <w:r w:rsidRPr="00CE0DB4">
        <w:rPr>
          <w:rFonts w:ascii="Bookman Old Style" w:hAnsi="Bookman Old Style"/>
          <w:lang/>
        </w:rPr>
        <w:t xml:space="preserve"> 1996 (1) SA 117</w:t>
      </w:r>
      <w:r>
        <w:rPr>
          <w:rFonts w:ascii="Bookman Old Style" w:hAnsi="Bookman Old Style"/>
          <w:lang/>
        </w:rPr>
        <w:t>1 (C) - left open by SCA in Th</w:t>
      </w:r>
      <w:r w:rsidRPr="00CE0DB4">
        <w:rPr>
          <w:rFonts w:ascii="Bookman Old Style" w:hAnsi="Bookman Old Style"/>
          <w:lang/>
        </w:rPr>
        <w:t>rough</w:t>
      </w:r>
      <w:r>
        <w:rPr>
          <w:rFonts w:ascii="Bookman Old Style" w:hAnsi="Bookman Old Style"/>
          <w:lang/>
        </w:rPr>
        <w:t xml:space="preserve"> </w:t>
      </w:r>
      <w:r w:rsidRPr="00CE0DB4">
        <w:rPr>
          <w:rFonts w:ascii="Bookman Old Style" w:hAnsi="Bookman Old Style"/>
          <w:lang/>
        </w:rPr>
        <w:t>bred Breeders Association of SA v Price Waterhouse 2001 (4) SA 551 (SCA)</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Achieves no more that order that costs be paid between attorney and client </w:t>
      </w:r>
      <w:r w:rsidRPr="00CE0DB4">
        <w:rPr>
          <w:rStyle w:val="Emphasis"/>
          <w:rFonts w:ascii="Bookman Old Style" w:hAnsi="Bookman Old Style"/>
          <w:b/>
          <w:bCs/>
          <w:lang/>
        </w:rPr>
        <w:t xml:space="preserve">Aircraft Completions Centre (Pty) Ltd v </w:t>
      </w:r>
      <w:proofErr w:type="spellStart"/>
      <w:r w:rsidRPr="00CE0DB4">
        <w:rPr>
          <w:rStyle w:val="Emphasis"/>
          <w:rFonts w:ascii="Bookman Old Style" w:hAnsi="Bookman Old Style"/>
          <w:b/>
          <w:bCs/>
          <w:lang/>
        </w:rPr>
        <w:t>Rossouw</w:t>
      </w:r>
      <w:proofErr w:type="spellEnd"/>
      <w:r w:rsidRPr="00CE0DB4">
        <w:rPr>
          <w:rStyle w:val="Emphasis"/>
          <w:rFonts w:ascii="Bookman Old Style" w:hAnsi="Bookman Old Style"/>
          <w:b/>
          <w:bCs/>
          <w:lang/>
        </w:rPr>
        <w:t xml:space="preserve"> 2004 (10 SA 123 (W)</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[3] </w:t>
      </w:r>
      <w:r w:rsidRPr="00CE0DB4">
        <w:rPr>
          <w:rStyle w:val="Emphasis"/>
          <w:rFonts w:ascii="Bookman Old Style" w:hAnsi="Bookman Old Style"/>
          <w:u w:val="single"/>
          <w:lang/>
        </w:rPr>
        <w:t>Learn to appeal against cost order</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Not lightly granted – normally justified only if court </w:t>
      </w:r>
      <w:r w:rsidRPr="00CE0DB4">
        <w:rPr>
          <w:rStyle w:val="Strong"/>
          <w:rFonts w:ascii="Bookman Old Style" w:hAnsi="Bookman Old Style"/>
          <w:lang/>
        </w:rPr>
        <w:t xml:space="preserve">a quo </w:t>
      </w:r>
      <w:r w:rsidRPr="00CE0DB4">
        <w:rPr>
          <w:rStyle w:val="Emphasis"/>
          <w:rFonts w:ascii="Bookman Old Style" w:hAnsi="Bookman Old Style"/>
          <w:lang/>
        </w:rPr>
        <w:t>“exercised its discretion capriciously or upon a wrong principle or if it has not brought its unbiased judgment</w:t>
      </w:r>
      <w:r w:rsidRPr="00CE0DB4">
        <w:rPr>
          <w:rFonts w:ascii="Bookman Old Style" w:hAnsi="Bookman Old Style"/>
          <w:lang/>
        </w:rPr>
        <w:t xml:space="preserve"> </w:t>
      </w:r>
      <w:r w:rsidRPr="00CE0DB4">
        <w:rPr>
          <w:rStyle w:val="Emphasis"/>
          <w:rFonts w:ascii="Bookman Old Style" w:hAnsi="Bookman Old Style"/>
          <w:lang/>
        </w:rPr>
        <w:t xml:space="preserve">to bear on the question or has not acted for substantial reasons” </w:t>
      </w:r>
      <w:r w:rsidRPr="00CE0DB4">
        <w:rPr>
          <w:rStyle w:val="Strong"/>
          <w:rFonts w:ascii="Bookman Old Style" w:hAnsi="Bookman Old Style"/>
          <w:i/>
          <w:iCs/>
          <w:lang/>
        </w:rPr>
        <w:t xml:space="preserve">OKH Farms (Pty) Ltd v Littler No Col </w:t>
      </w:r>
      <w:proofErr w:type="gramStart"/>
      <w:r w:rsidRPr="00CE0DB4">
        <w:rPr>
          <w:rStyle w:val="Strong"/>
          <w:rFonts w:ascii="Bookman Old Style" w:hAnsi="Bookman Old Style"/>
          <w:i/>
          <w:iCs/>
          <w:lang/>
        </w:rPr>
        <w:t>A</w:t>
      </w:r>
      <w:proofErr w:type="gramEnd"/>
      <w:r w:rsidRPr="00CE0DB4">
        <w:rPr>
          <w:rStyle w:val="Strong"/>
          <w:rFonts w:ascii="Bookman Old Style" w:hAnsi="Bookman Old Style"/>
          <w:i/>
          <w:iCs/>
          <w:lang/>
        </w:rPr>
        <w:t xml:space="preserve"> Civil Case 29 (2006 Respondent’s bundle, p 23 or 47 – 8.</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[4] Attorney – </w:t>
      </w:r>
      <w:proofErr w:type="spellStart"/>
      <w:r w:rsidRPr="00CE0DB4">
        <w:rPr>
          <w:rFonts w:ascii="Bookman Old Style" w:hAnsi="Bookman Old Style"/>
          <w:lang/>
        </w:rPr>
        <w:t>Blient</w:t>
      </w:r>
      <w:proofErr w:type="spellEnd"/>
      <w:r w:rsidRPr="00CE0DB4">
        <w:rPr>
          <w:rFonts w:ascii="Bookman Old Style" w:hAnsi="Bookman Old Style"/>
          <w:lang/>
        </w:rPr>
        <w:t xml:space="preserve"> costs: factors: </w:t>
      </w:r>
      <w:proofErr w:type="spellStart"/>
      <w:r w:rsidRPr="00CE0DB4">
        <w:rPr>
          <w:rStyle w:val="Emphasis"/>
          <w:rFonts w:ascii="Bookman Old Style" w:hAnsi="Bookman Old Style"/>
          <w:lang/>
        </w:rPr>
        <w:t>Littler’s</w:t>
      </w:r>
      <w:proofErr w:type="spellEnd"/>
      <w:r w:rsidRPr="00CE0DB4">
        <w:rPr>
          <w:rFonts w:ascii="Bookman Old Style" w:hAnsi="Bookman Old Style"/>
          <w:lang/>
        </w:rPr>
        <w:t xml:space="preserve"> case, R’S bundle 38 – 39.</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[5] Application being brought on urgent basis where not warranted punitive costs –</w:t>
      </w:r>
    </w:p>
    <w:p w:rsidR="00CE0DB4" w:rsidRPr="00CE0DB4" w:rsidRDefault="00CE0DB4" w:rsidP="00CE0DB4">
      <w:pPr>
        <w:pStyle w:val="NormalWeb"/>
        <w:spacing w:line="360" w:lineRule="auto"/>
        <w:ind w:left="720"/>
        <w:jc w:val="both"/>
        <w:rPr>
          <w:rFonts w:ascii="Bookman Old Style" w:hAnsi="Bookman Old Style"/>
          <w:lang/>
        </w:rPr>
      </w:pPr>
      <w:r w:rsidRPr="00CE0DB4">
        <w:rPr>
          <w:rFonts w:ascii="Bookman Old Style" w:hAnsi="Bookman Old Style"/>
          <w:lang/>
        </w:rPr>
        <w:t xml:space="preserve">System B Payne v </w:t>
      </w:r>
      <w:proofErr w:type="spellStart"/>
      <w:r w:rsidRPr="00CE0DB4">
        <w:rPr>
          <w:rFonts w:ascii="Bookman Old Style" w:hAnsi="Bookman Old Style"/>
          <w:lang/>
        </w:rPr>
        <w:t>Fraay</w:t>
      </w:r>
      <w:proofErr w:type="spellEnd"/>
      <w:r w:rsidRPr="00CE0DB4">
        <w:rPr>
          <w:rFonts w:ascii="Bookman Old Style" w:hAnsi="Bookman Old Style"/>
          <w:lang/>
        </w:rPr>
        <w:t xml:space="preserve"> &amp; </w:t>
      </w:r>
      <w:proofErr w:type="spellStart"/>
      <w:r w:rsidRPr="00CE0DB4">
        <w:rPr>
          <w:rFonts w:ascii="Bookman Old Style" w:hAnsi="Bookman Old Style"/>
          <w:lang/>
        </w:rPr>
        <w:t>ors</w:t>
      </w:r>
      <w:proofErr w:type="spellEnd"/>
      <w:r w:rsidRPr="00CE0DB4">
        <w:rPr>
          <w:rFonts w:ascii="Bookman Old Style" w:hAnsi="Bookman Old Style"/>
          <w:lang/>
        </w:rPr>
        <w:t xml:space="preserve"> 1948 (1) SA 1272 (W</w:t>
      </w:r>
      <w:proofErr w:type="gramStart"/>
      <w:r w:rsidRPr="00CE0DB4">
        <w:rPr>
          <w:rFonts w:ascii="Bookman Old Style" w:hAnsi="Bookman Old Style"/>
          <w:lang/>
        </w:rPr>
        <w:t>)</w:t>
      </w:r>
      <w:r w:rsidRPr="00CE0DB4">
        <w:rPr>
          <w:rStyle w:val="Strong"/>
          <w:rFonts w:ascii="Bookman Old Style" w:hAnsi="Bookman Old Style"/>
          <w:lang/>
        </w:rPr>
        <w:t>(</w:t>
      </w:r>
      <w:proofErr w:type="gramEnd"/>
      <w:r w:rsidRPr="00CE0DB4">
        <w:rPr>
          <w:rFonts w:ascii="Bookman Old Style" w:hAnsi="Bookman Old Style"/>
          <w:lang/>
        </w:rPr>
        <w:t xml:space="preserve">R’S bundle at 77) </w:t>
      </w:r>
      <w:r w:rsidRPr="00CE0DB4">
        <w:rPr>
          <w:rStyle w:val="Strong"/>
          <w:rFonts w:ascii="Bookman Old Style" w:hAnsi="Bookman Old Style"/>
          <w:lang/>
        </w:rPr>
        <w:t xml:space="preserve">Maseko on v </w:t>
      </w:r>
      <w:proofErr w:type="spellStart"/>
      <w:r w:rsidRPr="00CE0DB4">
        <w:rPr>
          <w:rStyle w:val="Strong"/>
          <w:rFonts w:ascii="Bookman Old Style" w:hAnsi="Bookman Old Style"/>
          <w:lang/>
        </w:rPr>
        <w:t>Mbatha</w:t>
      </w:r>
      <w:proofErr w:type="spellEnd"/>
      <w:r w:rsidRPr="00CE0DB4">
        <w:rPr>
          <w:rFonts w:ascii="Bookman Old Style" w:hAnsi="Bookman Old Style"/>
          <w:lang/>
        </w:rPr>
        <w:t xml:space="preserve">, Col A, </w:t>
      </w:r>
      <w:proofErr w:type="spellStart"/>
      <w:r w:rsidRPr="00CE0DB4">
        <w:rPr>
          <w:rFonts w:ascii="Bookman Old Style" w:hAnsi="Bookman Old Style"/>
          <w:lang/>
        </w:rPr>
        <w:t>Civ</w:t>
      </w:r>
      <w:proofErr w:type="spellEnd"/>
      <w:r w:rsidRPr="00CE0DB4">
        <w:rPr>
          <w:rFonts w:ascii="Bookman Old Style" w:hAnsi="Bookman Old Style"/>
          <w:lang/>
        </w:rPr>
        <w:t xml:space="preserve"> Appeal 7/2005 (R’S bundle </w:t>
      </w:r>
      <w:proofErr w:type="spellStart"/>
      <w:r w:rsidRPr="00CE0DB4">
        <w:rPr>
          <w:rFonts w:ascii="Bookman Old Style" w:hAnsi="Bookman Old Style"/>
          <w:lang/>
        </w:rPr>
        <w:t>pp</w:t>
      </w:r>
      <w:proofErr w:type="spellEnd"/>
      <w:r w:rsidRPr="00CE0DB4">
        <w:rPr>
          <w:rFonts w:ascii="Bookman Old Style" w:hAnsi="Bookman Old Style"/>
          <w:lang/>
        </w:rPr>
        <w:t xml:space="preserve"> 109 – 112, </w:t>
      </w:r>
      <w:proofErr w:type="spellStart"/>
      <w:r w:rsidRPr="00CE0DB4">
        <w:rPr>
          <w:rFonts w:ascii="Bookman Old Style" w:hAnsi="Bookman Old Style"/>
          <w:lang/>
        </w:rPr>
        <w:t>espet</w:t>
      </w:r>
      <w:proofErr w:type="spellEnd"/>
      <w:r w:rsidRPr="00CE0DB4">
        <w:rPr>
          <w:rFonts w:ascii="Bookman Old Style" w:hAnsi="Bookman Old Style"/>
          <w:lang/>
        </w:rPr>
        <w:t xml:space="preserve"> 112</w:t>
      </w:r>
    </w:p>
    <w:p w:rsidR="00697575" w:rsidRPr="00CE0DB4" w:rsidRDefault="00697575" w:rsidP="00CE0DB4">
      <w:pPr>
        <w:spacing w:line="360" w:lineRule="auto"/>
        <w:jc w:val="both"/>
        <w:rPr>
          <w:rFonts w:ascii="Bookman Old Style" w:hAnsi="Bookman Old Style"/>
          <w:sz w:val="24"/>
          <w:szCs w:val="24"/>
        </w:rPr>
      </w:pPr>
    </w:p>
    <w:sectPr w:rsidR="00697575" w:rsidRPr="00CE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B4"/>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CE0DB4"/>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DB4"/>
    <w:rPr>
      <w:b/>
      <w:bCs/>
    </w:rPr>
  </w:style>
  <w:style w:type="paragraph" w:styleId="NormalWeb">
    <w:name w:val="Normal (Web)"/>
    <w:basedOn w:val="Normal"/>
    <w:uiPriority w:val="99"/>
    <w:semiHidden/>
    <w:unhideWhenUsed/>
    <w:rsid w:val="00CE0DB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E0D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DB4"/>
    <w:rPr>
      <w:b/>
      <w:bCs/>
    </w:rPr>
  </w:style>
  <w:style w:type="paragraph" w:styleId="NormalWeb">
    <w:name w:val="Normal (Web)"/>
    <w:basedOn w:val="Normal"/>
    <w:uiPriority w:val="99"/>
    <w:semiHidden/>
    <w:unhideWhenUsed/>
    <w:rsid w:val="00CE0DB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E0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1785">
      <w:bodyDiv w:val="1"/>
      <w:marLeft w:val="0"/>
      <w:marRight w:val="0"/>
      <w:marTop w:val="0"/>
      <w:marBottom w:val="0"/>
      <w:divBdr>
        <w:top w:val="none" w:sz="0" w:space="0" w:color="auto"/>
        <w:left w:val="none" w:sz="0" w:space="0" w:color="auto"/>
        <w:bottom w:val="none" w:sz="0" w:space="0" w:color="auto"/>
        <w:right w:val="none" w:sz="0" w:space="0" w:color="auto"/>
      </w:divBdr>
      <w:divsChild>
        <w:div w:id="88280532">
          <w:marLeft w:val="0"/>
          <w:marRight w:val="0"/>
          <w:marTop w:val="0"/>
          <w:marBottom w:val="0"/>
          <w:divBdr>
            <w:top w:val="none" w:sz="0" w:space="0" w:color="auto"/>
            <w:left w:val="none" w:sz="0" w:space="0" w:color="auto"/>
            <w:bottom w:val="none" w:sz="0" w:space="0" w:color="auto"/>
            <w:right w:val="none" w:sz="0" w:space="0" w:color="auto"/>
          </w:divBdr>
          <w:divsChild>
            <w:div w:id="1596397980">
              <w:marLeft w:val="0"/>
              <w:marRight w:val="0"/>
              <w:marTop w:val="0"/>
              <w:marBottom w:val="0"/>
              <w:divBdr>
                <w:top w:val="none" w:sz="0" w:space="0" w:color="auto"/>
                <w:left w:val="none" w:sz="0" w:space="0" w:color="auto"/>
                <w:bottom w:val="none" w:sz="0" w:space="0" w:color="auto"/>
                <w:right w:val="none" w:sz="0" w:space="0" w:color="auto"/>
              </w:divBdr>
              <w:divsChild>
                <w:div w:id="1335494125">
                  <w:marLeft w:val="0"/>
                  <w:marRight w:val="0"/>
                  <w:marTop w:val="0"/>
                  <w:marBottom w:val="0"/>
                  <w:divBdr>
                    <w:top w:val="none" w:sz="0" w:space="0" w:color="auto"/>
                    <w:left w:val="none" w:sz="0" w:space="0" w:color="auto"/>
                    <w:bottom w:val="none" w:sz="0" w:space="0" w:color="auto"/>
                    <w:right w:val="none" w:sz="0" w:space="0" w:color="auto"/>
                  </w:divBdr>
                  <w:divsChild>
                    <w:div w:id="1778284197">
                      <w:marLeft w:val="0"/>
                      <w:marRight w:val="0"/>
                      <w:marTop w:val="0"/>
                      <w:marBottom w:val="0"/>
                      <w:divBdr>
                        <w:top w:val="none" w:sz="0" w:space="0" w:color="auto"/>
                        <w:left w:val="none" w:sz="0" w:space="0" w:color="auto"/>
                        <w:bottom w:val="none" w:sz="0" w:space="0" w:color="auto"/>
                        <w:right w:val="none" w:sz="0" w:space="0" w:color="auto"/>
                      </w:divBdr>
                      <w:divsChild>
                        <w:div w:id="1438259011">
                          <w:marLeft w:val="0"/>
                          <w:marRight w:val="0"/>
                          <w:marTop w:val="0"/>
                          <w:marBottom w:val="300"/>
                          <w:divBdr>
                            <w:top w:val="single" w:sz="2" w:space="0" w:color="CCCCCC"/>
                            <w:left w:val="single" w:sz="6" w:space="0" w:color="CCCCCC"/>
                            <w:bottom w:val="single" w:sz="6" w:space="0" w:color="CCCCCC"/>
                            <w:right w:val="single" w:sz="6" w:space="0" w:color="CCCCCC"/>
                          </w:divBdr>
                          <w:divsChild>
                            <w:div w:id="1991908950">
                              <w:marLeft w:val="0"/>
                              <w:marRight w:val="0"/>
                              <w:marTop w:val="0"/>
                              <w:marBottom w:val="0"/>
                              <w:divBdr>
                                <w:top w:val="none" w:sz="0" w:space="0" w:color="auto"/>
                                <w:left w:val="none" w:sz="0" w:space="0" w:color="auto"/>
                                <w:bottom w:val="none" w:sz="0" w:space="0" w:color="auto"/>
                                <w:right w:val="none" w:sz="0" w:space="0" w:color="auto"/>
                              </w:divBdr>
                              <w:divsChild>
                                <w:div w:id="1831361602">
                                  <w:marLeft w:val="0"/>
                                  <w:marRight w:val="0"/>
                                  <w:marTop w:val="0"/>
                                  <w:marBottom w:val="0"/>
                                  <w:divBdr>
                                    <w:top w:val="none" w:sz="0" w:space="0" w:color="auto"/>
                                    <w:left w:val="none" w:sz="0" w:space="0" w:color="auto"/>
                                    <w:bottom w:val="none" w:sz="0" w:space="0" w:color="auto"/>
                                    <w:right w:val="none" w:sz="0" w:space="0" w:color="auto"/>
                                  </w:divBdr>
                                  <w:divsChild>
                                    <w:div w:id="1733501307">
                                      <w:marLeft w:val="0"/>
                                      <w:marRight w:val="-100"/>
                                      <w:marTop w:val="0"/>
                                      <w:marBottom w:val="0"/>
                                      <w:divBdr>
                                        <w:top w:val="none" w:sz="0" w:space="0" w:color="auto"/>
                                        <w:left w:val="none" w:sz="0" w:space="0" w:color="auto"/>
                                        <w:bottom w:val="none" w:sz="0" w:space="0" w:color="auto"/>
                                        <w:right w:val="none" w:sz="0" w:space="0" w:color="auto"/>
                                      </w:divBdr>
                                      <w:divsChild>
                                        <w:div w:id="1949699943">
                                          <w:marLeft w:val="0"/>
                                          <w:marRight w:val="0"/>
                                          <w:marTop w:val="0"/>
                                          <w:marBottom w:val="0"/>
                                          <w:divBdr>
                                            <w:top w:val="none" w:sz="0" w:space="0" w:color="auto"/>
                                            <w:left w:val="none" w:sz="0" w:space="0" w:color="auto"/>
                                            <w:bottom w:val="none" w:sz="0" w:space="0" w:color="auto"/>
                                            <w:right w:val="none" w:sz="0" w:space="0" w:color="auto"/>
                                          </w:divBdr>
                                          <w:divsChild>
                                            <w:div w:id="2048678995">
                                              <w:marLeft w:val="0"/>
                                              <w:marRight w:val="0"/>
                                              <w:marTop w:val="0"/>
                                              <w:marBottom w:val="0"/>
                                              <w:divBdr>
                                                <w:top w:val="none" w:sz="0" w:space="0" w:color="auto"/>
                                                <w:left w:val="none" w:sz="0" w:space="0" w:color="auto"/>
                                                <w:bottom w:val="none" w:sz="0" w:space="0" w:color="auto"/>
                                                <w:right w:val="none" w:sz="0" w:space="0" w:color="auto"/>
                                              </w:divBdr>
                                              <w:divsChild>
                                                <w:div w:id="797603798">
                                                  <w:marLeft w:val="0"/>
                                                  <w:marRight w:val="0"/>
                                                  <w:marTop w:val="0"/>
                                                  <w:marBottom w:val="0"/>
                                                  <w:divBdr>
                                                    <w:top w:val="none" w:sz="0" w:space="0" w:color="auto"/>
                                                    <w:left w:val="none" w:sz="0" w:space="0" w:color="auto"/>
                                                    <w:bottom w:val="none" w:sz="0" w:space="0" w:color="auto"/>
                                                    <w:right w:val="none" w:sz="0" w:space="0" w:color="auto"/>
                                                  </w:divBdr>
                                                  <w:divsChild>
                                                    <w:div w:id="560216423">
                                                      <w:marLeft w:val="0"/>
                                                      <w:marRight w:val="0"/>
                                                      <w:marTop w:val="0"/>
                                                      <w:marBottom w:val="0"/>
                                                      <w:divBdr>
                                                        <w:top w:val="none" w:sz="0" w:space="0" w:color="auto"/>
                                                        <w:left w:val="none" w:sz="0" w:space="0" w:color="auto"/>
                                                        <w:bottom w:val="none" w:sz="0" w:space="0" w:color="auto"/>
                                                        <w:right w:val="none" w:sz="0" w:space="0" w:color="auto"/>
                                                      </w:divBdr>
                                                      <w:divsChild>
                                                        <w:div w:id="1652179156">
                                                          <w:marLeft w:val="0"/>
                                                          <w:marRight w:val="0"/>
                                                          <w:marTop w:val="0"/>
                                                          <w:marBottom w:val="0"/>
                                                          <w:divBdr>
                                                            <w:top w:val="none" w:sz="0" w:space="0" w:color="auto"/>
                                                            <w:left w:val="none" w:sz="0" w:space="0" w:color="auto"/>
                                                            <w:bottom w:val="none" w:sz="0" w:space="0" w:color="auto"/>
                                                            <w:right w:val="none" w:sz="0" w:space="0" w:color="auto"/>
                                                          </w:divBdr>
                                                          <w:divsChild>
                                                            <w:div w:id="1346324231">
                                                              <w:marLeft w:val="0"/>
                                                              <w:marRight w:val="0"/>
                                                              <w:marTop w:val="0"/>
                                                              <w:marBottom w:val="0"/>
                                                              <w:divBdr>
                                                                <w:top w:val="none" w:sz="0" w:space="0" w:color="auto"/>
                                                                <w:left w:val="none" w:sz="0" w:space="0" w:color="auto"/>
                                                                <w:bottom w:val="none" w:sz="0" w:space="0" w:color="auto"/>
                                                                <w:right w:val="none" w:sz="0" w:space="0" w:color="auto"/>
                                                              </w:divBdr>
                                                              <w:divsChild>
                                                                <w:div w:id="35022984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2012-07-09T14:06:00Z</dcterms:created>
  <dcterms:modified xsi:type="dcterms:W3CDTF">2012-07-09T14:10:00Z</dcterms:modified>
</cp:coreProperties>
</file>