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4C" w:rsidRDefault="00A8264C" w:rsidP="00A8264C">
      <w:pPr>
        <w:jc w:val="center"/>
        <w:rPr>
          <w:rFonts w:ascii="Bookman Old Style" w:eastAsia="Arial Unicode MS" w:hAnsi="Bookman Old Style" w:cs="Arial Unicode MS"/>
        </w:rPr>
      </w:pPr>
      <w:bookmarkStart w:id="0" w:name="_GoBack"/>
      <w:bookmarkEnd w:id="0"/>
      <w:r>
        <w:rPr>
          <w:rFonts w:ascii="Bookman Old Style" w:eastAsia="Arial Unicode MS" w:hAnsi="Bookman Old Style" w:cs="Arial Unicode MS"/>
          <w:noProof/>
          <w:lang w:val="en-ZA" w:eastAsia="en-ZA"/>
        </w:rPr>
        <w:drawing>
          <wp:inline distT="0" distB="0" distL="0" distR="0">
            <wp:extent cx="2238375" cy="1400175"/>
            <wp:effectExtent l="19050" t="0" r="9525"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A8264C" w:rsidRPr="00A14D8D" w:rsidRDefault="00A8264C" w:rsidP="00A8264C">
      <w:pPr>
        <w:jc w:val="center"/>
        <w:rPr>
          <w:rFonts w:ascii="Bookman Old Style" w:eastAsia="Arial Unicode MS" w:hAnsi="Bookman Old Style" w:cs="Arial Unicode MS"/>
        </w:rPr>
      </w:pPr>
    </w:p>
    <w:p w:rsidR="00A8264C" w:rsidRPr="00775896" w:rsidRDefault="00A8264C" w:rsidP="00A8264C">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A8264C" w:rsidRPr="00775896" w:rsidRDefault="00A8264C" w:rsidP="00A8264C">
      <w:pPr>
        <w:jc w:val="center"/>
        <w:rPr>
          <w:rFonts w:eastAsia="Arial Unicode MS"/>
          <w:sz w:val="30"/>
          <w:szCs w:val="30"/>
        </w:rPr>
      </w:pPr>
    </w:p>
    <w:p w:rsidR="00A8264C" w:rsidRPr="000E275C" w:rsidRDefault="00A8264C" w:rsidP="00A8264C">
      <w:pPr>
        <w:jc w:val="both"/>
        <w:rPr>
          <w:rFonts w:eastAsia="Arial Unicode MS"/>
          <w:b/>
          <w:sz w:val="30"/>
          <w:szCs w:val="30"/>
        </w:rPr>
      </w:pPr>
      <w:r w:rsidRPr="000E275C">
        <w:rPr>
          <w:rFonts w:eastAsia="Arial Unicode MS"/>
          <w:b/>
          <w:sz w:val="30"/>
          <w:szCs w:val="30"/>
        </w:rPr>
        <w:t>HELD AT MBABANE</w:t>
      </w:r>
    </w:p>
    <w:p w:rsidR="00A8264C" w:rsidRPr="00775896" w:rsidRDefault="00A8264C" w:rsidP="00A8264C">
      <w:pPr>
        <w:jc w:val="both"/>
        <w:rPr>
          <w:rFonts w:eastAsia="Arial Unicode MS"/>
          <w:sz w:val="30"/>
          <w:szCs w:val="30"/>
        </w:rPr>
      </w:pPr>
    </w:p>
    <w:p w:rsidR="00A8264C" w:rsidRPr="00775896" w:rsidRDefault="00A8264C" w:rsidP="00A8264C">
      <w:pPr>
        <w:jc w:val="center"/>
        <w:rPr>
          <w:rFonts w:eastAsia="Arial Unicode MS"/>
          <w:b/>
          <w:sz w:val="30"/>
          <w:szCs w:val="30"/>
        </w:rPr>
      </w:pPr>
      <w:r w:rsidRPr="00775896">
        <w:rPr>
          <w:rFonts w:eastAsia="Arial Unicode MS"/>
          <w:b/>
          <w:sz w:val="30"/>
          <w:szCs w:val="30"/>
        </w:rPr>
        <w:t xml:space="preserve">JUDGMENT </w:t>
      </w:r>
    </w:p>
    <w:p w:rsidR="00A8264C" w:rsidRDefault="00A8264C" w:rsidP="00A8264C">
      <w:pPr>
        <w:rPr>
          <w:rFonts w:eastAsia="Arial Unicode MS"/>
          <w:b/>
          <w:sz w:val="30"/>
          <w:szCs w:val="30"/>
        </w:rPr>
      </w:pPr>
    </w:p>
    <w:p w:rsidR="00A8264C" w:rsidRPr="00775896" w:rsidRDefault="00A8264C" w:rsidP="00A8264C">
      <w:pPr>
        <w:rPr>
          <w:rFonts w:eastAsia="Arial Unicode MS"/>
          <w:b/>
          <w:sz w:val="30"/>
          <w:szCs w:val="30"/>
        </w:rPr>
      </w:pPr>
    </w:p>
    <w:p w:rsidR="00A8264C" w:rsidRPr="00775896" w:rsidRDefault="00A8264C" w:rsidP="00A8264C">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 xml:space="preserve">     </w:t>
      </w:r>
      <w:r w:rsidRPr="00775896">
        <w:rPr>
          <w:rFonts w:eastAsia="Arial Unicode MS"/>
          <w:b/>
          <w:sz w:val="30"/>
          <w:szCs w:val="30"/>
        </w:rPr>
        <w:tab/>
        <w:t xml:space="preserve">  </w:t>
      </w:r>
      <w:r>
        <w:rPr>
          <w:rFonts w:eastAsia="Arial Unicode MS"/>
          <w:b/>
          <w:sz w:val="30"/>
          <w:szCs w:val="30"/>
        </w:rPr>
        <w:t xml:space="preserve"> </w:t>
      </w:r>
      <w:r w:rsidRPr="00775896">
        <w:rPr>
          <w:rFonts w:eastAsia="Arial Unicode MS"/>
          <w:b/>
          <w:sz w:val="30"/>
          <w:szCs w:val="30"/>
        </w:rPr>
        <w:t xml:space="preserve">  </w:t>
      </w:r>
      <w:r w:rsidRPr="00775896">
        <w:rPr>
          <w:rFonts w:eastAsia="Arial Unicode MS"/>
          <w:b/>
          <w:sz w:val="30"/>
          <w:szCs w:val="30"/>
          <w:u w:val="single"/>
        </w:rPr>
        <w:t>C</w:t>
      </w:r>
      <w:r>
        <w:rPr>
          <w:rFonts w:eastAsia="Arial Unicode MS"/>
          <w:b/>
          <w:sz w:val="30"/>
          <w:szCs w:val="30"/>
          <w:u w:val="single"/>
        </w:rPr>
        <w:t xml:space="preserve">ivil Case </w:t>
      </w:r>
      <w:r w:rsidRPr="00775896">
        <w:rPr>
          <w:rFonts w:eastAsia="Arial Unicode MS"/>
          <w:b/>
          <w:sz w:val="30"/>
          <w:szCs w:val="30"/>
          <w:u w:val="single"/>
        </w:rPr>
        <w:t xml:space="preserve">No. </w:t>
      </w:r>
      <w:r>
        <w:rPr>
          <w:rFonts w:eastAsia="Arial Unicode MS"/>
          <w:b/>
          <w:sz w:val="30"/>
          <w:szCs w:val="30"/>
          <w:u w:val="single"/>
        </w:rPr>
        <w:t>54</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A8264C" w:rsidRPr="00775896" w:rsidRDefault="00A8264C" w:rsidP="00A8264C">
      <w:pPr>
        <w:jc w:val="both"/>
        <w:rPr>
          <w:rFonts w:eastAsia="Arial Unicode MS"/>
          <w:b/>
          <w:sz w:val="30"/>
          <w:szCs w:val="30"/>
          <w:u w:val="single"/>
        </w:rPr>
      </w:pPr>
    </w:p>
    <w:p w:rsidR="00A8264C" w:rsidRPr="00775896" w:rsidRDefault="00A8264C" w:rsidP="00A8264C">
      <w:pPr>
        <w:jc w:val="both"/>
        <w:rPr>
          <w:rFonts w:eastAsia="Arial Unicode MS"/>
          <w:b/>
          <w:sz w:val="30"/>
          <w:szCs w:val="30"/>
        </w:rPr>
      </w:pPr>
    </w:p>
    <w:p w:rsidR="00A8264C" w:rsidRPr="00775896" w:rsidRDefault="00A8264C" w:rsidP="00A8264C">
      <w:pPr>
        <w:jc w:val="both"/>
        <w:rPr>
          <w:rFonts w:eastAsia="Arial Unicode MS"/>
          <w:b/>
          <w:sz w:val="30"/>
          <w:szCs w:val="30"/>
        </w:rPr>
      </w:pPr>
      <w:r w:rsidRPr="00775896">
        <w:rPr>
          <w:rFonts w:eastAsia="Arial Unicode MS"/>
          <w:b/>
          <w:sz w:val="30"/>
          <w:szCs w:val="30"/>
        </w:rPr>
        <w:t>In the matter between</w:t>
      </w:r>
    </w:p>
    <w:p w:rsidR="00A8264C" w:rsidRPr="00775896" w:rsidRDefault="00A8264C" w:rsidP="00A8264C">
      <w:pPr>
        <w:jc w:val="both"/>
        <w:rPr>
          <w:rFonts w:eastAsia="Arial Unicode MS"/>
          <w:b/>
          <w:sz w:val="30"/>
          <w:szCs w:val="30"/>
        </w:rPr>
      </w:pPr>
    </w:p>
    <w:p w:rsidR="00A8264C" w:rsidRPr="00775896" w:rsidRDefault="00A8264C" w:rsidP="00A8264C">
      <w:pPr>
        <w:jc w:val="both"/>
        <w:rPr>
          <w:rFonts w:eastAsia="Arial Unicode MS"/>
          <w:b/>
          <w:sz w:val="30"/>
          <w:szCs w:val="30"/>
        </w:rPr>
      </w:pPr>
    </w:p>
    <w:p w:rsidR="00A8264C" w:rsidRDefault="00A8264C" w:rsidP="00A8264C">
      <w:pPr>
        <w:jc w:val="both"/>
        <w:rPr>
          <w:rFonts w:eastAsia="Arial Unicode MS"/>
          <w:b/>
          <w:sz w:val="30"/>
          <w:szCs w:val="30"/>
        </w:rPr>
      </w:pPr>
      <w:r>
        <w:rPr>
          <w:rFonts w:eastAsia="Arial Unicode MS"/>
          <w:b/>
          <w:sz w:val="30"/>
          <w:szCs w:val="30"/>
        </w:rPr>
        <w:t xml:space="preserve">JEKE (PTY) LIMITED </w:t>
      </w:r>
      <w:r>
        <w:rPr>
          <w:rFonts w:eastAsia="Arial Unicode MS"/>
          <w:b/>
          <w:sz w:val="30"/>
          <w:szCs w:val="30"/>
        </w:rPr>
        <w:tab/>
      </w:r>
      <w:r>
        <w:rPr>
          <w:rFonts w:eastAsia="Arial Unicode MS"/>
          <w:b/>
          <w:sz w:val="30"/>
          <w:szCs w:val="30"/>
        </w:rPr>
        <w:tab/>
        <w:t xml:space="preserve">           </w:t>
      </w:r>
      <w:r w:rsidRPr="00437011">
        <w:rPr>
          <w:rFonts w:eastAsia="Arial Unicode MS"/>
          <w:b/>
          <w:sz w:val="30"/>
          <w:szCs w:val="30"/>
        </w:rPr>
        <w:t>App</w:t>
      </w:r>
      <w:r>
        <w:rPr>
          <w:rFonts w:eastAsia="Arial Unicode MS"/>
          <w:b/>
          <w:sz w:val="30"/>
          <w:szCs w:val="30"/>
        </w:rPr>
        <w:t>licant</w:t>
      </w:r>
    </w:p>
    <w:p w:rsidR="00A8264C" w:rsidRDefault="00A8264C" w:rsidP="00A8264C">
      <w:pPr>
        <w:jc w:val="both"/>
        <w:rPr>
          <w:rFonts w:eastAsia="Arial Unicode MS"/>
          <w:b/>
          <w:sz w:val="30"/>
          <w:szCs w:val="30"/>
        </w:rPr>
      </w:pPr>
    </w:p>
    <w:p w:rsidR="00A8264C" w:rsidRDefault="00A8264C" w:rsidP="00A8264C">
      <w:pPr>
        <w:jc w:val="both"/>
        <w:rPr>
          <w:rFonts w:eastAsia="Arial Unicode MS"/>
          <w:b/>
          <w:sz w:val="30"/>
          <w:szCs w:val="30"/>
        </w:rPr>
      </w:pPr>
    </w:p>
    <w:p w:rsidR="00A8264C" w:rsidRPr="00775896" w:rsidRDefault="00A8264C" w:rsidP="00A8264C">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A8264C" w:rsidRPr="00775896" w:rsidRDefault="00A8264C" w:rsidP="00A8264C">
      <w:pPr>
        <w:jc w:val="both"/>
        <w:rPr>
          <w:rFonts w:eastAsia="Arial Unicode MS"/>
          <w:b/>
          <w:sz w:val="30"/>
          <w:szCs w:val="30"/>
        </w:rPr>
      </w:pPr>
    </w:p>
    <w:p w:rsidR="00A8264C" w:rsidRDefault="00A8264C" w:rsidP="00A8264C">
      <w:pPr>
        <w:jc w:val="both"/>
        <w:rPr>
          <w:rFonts w:eastAsia="Arial Unicode MS"/>
          <w:b/>
          <w:sz w:val="30"/>
          <w:szCs w:val="30"/>
        </w:rPr>
      </w:pPr>
    </w:p>
    <w:p w:rsidR="00A8264C" w:rsidRDefault="00A8264C" w:rsidP="00A8264C">
      <w:pPr>
        <w:jc w:val="both"/>
        <w:rPr>
          <w:rFonts w:eastAsia="Arial Unicode MS"/>
          <w:b/>
          <w:sz w:val="30"/>
          <w:szCs w:val="30"/>
        </w:rPr>
      </w:pPr>
      <w:r>
        <w:rPr>
          <w:rFonts w:eastAsia="Arial Unicode MS"/>
          <w:b/>
          <w:sz w:val="30"/>
          <w:szCs w:val="30"/>
        </w:rPr>
        <w:t>SAMUEL SOLOMON NKABINDE       Respondent</w:t>
      </w:r>
    </w:p>
    <w:p w:rsidR="00A8264C" w:rsidRPr="00775896" w:rsidRDefault="00A8264C" w:rsidP="00A8264C">
      <w:pPr>
        <w:jc w:val="both"/>
        <w:rPr>
          <w:rFonts w:eastAsia="Arial Unicode MS"/>
          <w:b/>
          <w:sz w:val="30"/>
          <w:szCs w:val="30"/>
        </w:rPr>
      </w:pPr>
      <w:r w:rsidRPr="00775896">
        <w:rPr>
          <w:rFonts w:eastAsia="Arial Unicode MS"/>
          <w:b/>
          <w:sz w:val="30"/>
          <w:szCs w:val="30"/>
        </w:rPr>
        <w:br/>
      </w:r>
    </w:p>
    <w:p w:rsidR="00A8264C" w:rsidRPr="00775896" w:rsidRDefault="00A8264C" w:rsidP="00A8264C">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Pr>
          <w:rFonts w:eastAsia="Arial Unicode MS"/>
          <w:i/>
          <w:sz w:val="30"/>
          <w:szCs w:val="30"/>
        </w:rPr>
        <w:t xml:space="preserve">Jeke (Pty) Ltd </w:t>
      </w:r>
      <w:r w:rsidRPr="00775896">
        <w:rPr>
          <w:rFonts w:eastAsia="Arial Unicode MS"/>
          <w:i/>
          <w:sz w:val="30"/>
          <w:szCs w:val="30"/>
        </w:rPr>
        <w:t xml:space="preserve">v </w:t>
      </w:r>
      <w:r>
        <w:rPr>
          <w:rFonts w:eastAsia="Arial Unicode MS"/>
          <w:i/>
          <w:sz w:val="30"/>
          <w:szCs w:val="30"/>
        </w:rPr>
        <w:t xml:space="preserve">Samuel Solomon Nkabinde </w:t>
      </w:r>
      <w:r w:rsidRPr="00775896">
        <w:rPr>
          <w:rFonts w:eastAsia="Arial Unicode MS"/>
          <w:i/>
          <w:sz w:val="30"/>
          <w:szCs w:val="30"/>
        </w:rPr>
        <w:t>(</w:t>
      </w:r>
      <w:r>
        <w:rPr>
          <w:rFonts w:eastAsia="Arial Unicode MS"/>
          <w:i/>
          <w:sz w:val="30"/>
          <w:szCs w:val="30"/>
        </w:rPr>
        <w:t>54</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3</w:t>
      </w:r>
      <w:r w:rsidRPr="00775896">
        <w:rPr>
          <w:rFonts w:eastAsia="Arial Unicode MS"/>
          <w:i/>
          <w:sz w:val="30"/>
          <w:szCs w:val="30"/>
        </w:rPr>
        <w:t>)</w:t>
      </w:r>
      <w:r w:rsidRPr="00775896">
        <w:rPr>
          <w:rFonts w:eastAsia="Arial Unicode MS"/>
          <w:sz w:val="30"/>
          <w:szCs w:val="30"/>
        </w:rPr>
        <w:t xml:space="preserve"> [2013] SZSC </w:t>
      </w:r>
      <w:r w:rsidR="00D00967">
        <w:rPr>
          <w:rFonts w:eastAsia="Arial Unicode MS"/>
          <w:sz w:val="30"/>
          <w:szCs w:val="30"/>
        </w:rPr>
        <w:t>53</w:t>
      </w:r>
      <w:r w:rsidRPr="00775896">
        <w:rPr>
          <w:rFonts w:eastAsia="Arial Unicode MS"/>
          <w:sz w:val="30"/>
          <w:szCs w:val="30"/>
        </w:rPr>
        <w:t xml:space="preserve"> (</w:t>
      </w:r>
      <w:r>
        <w:rPr>
          <w:rFonts w:eastAsia="Arial Unicode MS"/>
          <w:sz w:val="30"/>
          <w:szCs w:val="30"/>
        </w:rPr>
        <w:t>29</w:t>
      </w:r>
      <w:r w:rsidRPr="00775896">
        <w:rPr>
          <w:rFonts w:eastAsia="Arial Unicode MS"/>
          <w:sz w:val="30"/>
          <w:szCs w:val="30"/>
        </w:rPr>
        <w:t xml:space="preserve"> </w:t>
      </w:r>
      <w:r>
        <w:rPr>
          <w:rFonts w:eastAsia="Arial Unicode MS"/>
          <w:sz w:val="30"/>
          <w:szCs w:val="30"/>
        </w:rPr>
        <w:t xml:space="preserve">November </w:t>
      </w:r>
      <w:r w:rsidRPr="00775896">
        <w:rPr>
          <w:rFonts w:eastAsia="Arial Unicode MS"/>
          <w:sz w:val="30"/>
          <w:szCs w:val="30"/>
        </w:rPr>
        <w:t>2013)</w:t>
      </w:r>
    </w:p>
    <w:p w:rsidR="00A8264C" w:rsidRPr="00775896" w:rsidRDefault="00A8264C" w:rsidP="00A8264C">
      <w:pPr>
        <w:ind w:left="2880" w:hanging="2880"/>
        <w:jc w:val="both"/>
        <w:rPr>
          <w:rFonts w:eastAsia="Arial Unicode MS"/>
          <w:i/>
          <w:sz w:val="30"/>
          <w:szCs w:val="30"/>
        </w:rPr>
      </w:pPr>
    </w:p>
    <w:p w:rsidR="00A8264C" w:rsidRDefault="00A8264C" w:rsidP="00A8264C">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sidR="00D00967">
        <w:rPr>
          <w:rFonts w:eastAsia="Arial Unicode MS"/>
          <w:sz w:val="30"/>
          <w:szCs w:val="30"/>
        </w:rPr>
        <w:t xml:space="preserve">MOORE </w:t>
      </w:r>
      <w:r w:rsidRPr="00775896">
        <w:rPr>
          <w:rFonts w:eastAsia="Arial Unicode MS"/>
          <w:sz w:val="30"/>
          <w:szCs w:val="30"/>
        </w:rPr>
        <w:t xml:space="preserve">JA, and </w:t>
      </w:r>
    </w:p>
    <w:p w:rsidR="00A8264C" w:rsidRPr="00775896" w:rsidRDefault="00D00967" w:rsidP="00A8264C">
      <w:pPr>
        <w:ind w:left="2880"/>
        <w:rPr>
          <w:rFonts w:eastAsia="Arial Unicode MS"/>
          <w:b/>
          <w:sz w:val="30"/>
          <w:szCs w:val="30"/>
        </w:rPr>
      </w:pPr>
      <w:r>
        <w:rPr>
          <w:rFonts w:eastAsia="Arial Unicode MS"/>
          <w:sz w:val="30"/>
          <w:szCs w:val="30"/>
        </w:rPr>
        <w:t xml:space="preserve">MCB MAPHALALA </w:t>
      </w:r>
      <w:r w:rsidR="00A8264C" w:rsidRPr="00775896">
        <w:rPr>
          <w:rFonts w:eastAsia="Arial Unicode MS"/>
          <w:sz w:val="30"/>
          <w:szCs w:val="30"/>
        </w:rPr>
        <w:t>JA</w:t>
      </w:r>
    </w:p>
    <w:p w:rsidR="00A8264C" w:rsidRPr="00775896" w:rsidRDefault="00A8264C" w:rsidP="00A8264C">
      <w:pPr>
        <w:ind w:left="2880" w:hanging="2880"/>
        <w:jc w:val="both"/>
        <w:rPr>
          <w:rFonts w:eastAsia="Arial Unicode MS"/>
          <w:b/>
          <w:sz w:val="30"/>
          <w:szCs w:val="30"/>
        </w:rPr>
      </w:pPr>
    </w:p>
    <w:p w:rsidR="00A8264C" w:rsidRPr="00775896" w:rsidRDefault="00A8264C" w:rsidP="00A8264C">
      <w:pPr>
        <w:jc w:val="both"/>
        <w:rPr>
          <w:rFonts w:eastAsia="Arial Unicode MS"/>
          <w:b/>
          <w:sz w:val="30"/>
          <w:szCs w:val="30"/>
        </w:rPr>
      </w:pPr>
    </w:p>
    <w:p w:rsidR="00A8264C" w:rsidRPr="00D00967" w:rsidRDefault="00A8264C" w:rsidP="00A8264C">
      <w:pPr>
        <w:jc w:val="both"/>
        <w:rPr>
          <w:rFonts w:eastAsia="Arial Unicode MS"/>
          <w:b/>
          <w:sz w:val="30"/>
          <w:szCs w:val="30"/>
        </w:rPr>
      </w:pPr>
      <w:r w:rsidRPr="00775896">
        <w:rPr>
          <w:rFonts w:eastAsia="Arial Unicode MS"/>
          <w:b/>
          <w:sz w:val="30"/>
          <w:szCs w:val="30"/>
        </w:rPr>
        <w:lastRenderedPageBreak/>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D00967" w:rsidRPr="00D00967">
        <w:rPr>
          <w:rFonts w:eastAsia="Arial Unicode MS"/>
          <w:sz w:val="30"/>
          <w:szCs w:val="30"/>
        </w:rPr>
        <w:t>14</w:t>
      </w:r>
      <w:r w:rsidRPr="00775896">
        <w:rPr>
          <w:rFonts w:eastAsia="Arial Unicode MS"/>
          <w:b/>
          <w:sz w:val="30"/>
          <w:szCs w:val="30"/>
        </w:rPr>
        <w:t xml:space="preserve"> </w:t>
      </w:r>
      <w:r w:rsidRPr="00D00967">
        <w:rPr>
          <w:rFonts w:eastAsia="Arial Unicode MS"/>
          <w:sz w:val="30"/>
          <w:szCs w:val="30"/>
        </w:rPr>
        <w:t>NOVEMBER 2013</w:t>
      </w:r>
      <w:r w:rsidRPr="00D00967">
        <w:rPr>
          <w:rFonts w:eastAsia="Arial Unicode MS"/>
          <w:b/>
          <w:sz w:val="30"/>
          <w:szCs w:val="30"/>
        </w:rPr>
        <w:tab/>
      </w:r>
    </w:p>
    <w:p w:rsidR="00A8264C" w:rsidRPr="00775896" w:rsidRDefault="00A8264C" w:rsidP="00A8264C">
      <w:pPr>
        <w:jc w:val="both"/>
        <w:rPr>
          <w:rFonts w:eastAsia="Arial Unicode MS"/>
          <w:b/>
          <w:sz w:val="30"/>
          <w:szCs w:val="30"/>
        </w:rPr>
      </w:pPr>
      <w:r w:rsidRPr="00775896">
        <w:rPr>
          <w:rFonts w:eastAsia="Arial Unicode MS"/>
          <w:b/>
          <w:sz w:val="30"/>
          <w:szCs w:val="30"/>
        </w:rPr>
        <w:tab/>
      </w:r>
    </w:p>
    <w:p w:rsidR="00A8264C" w:rsidRPr="00775896" w:rsidRDefault="00A8264C" w:rsidP="00A8264C">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sidRPr="00D00967">
        <w:rPr>
          <w:rFonts w:eastAsia="Arial Unicode MS"/>
          <w:sz w:val="30"/>
          <w:szCs w:val="30"/>
        </w:rPr>
        <w:t>29 NOVEMBER 2013</w:t>
      </w:r>
    </w:p>
    <w:p w:rsidR="00A8264C" w:rsidRPr="00775896" w:rsidRDefault="00A8264C" w:rsidP="00A8264C">
      <w:pPr>
        <w:ind w:left="2880" w:hanging="2880"/>
        <w:jc w:val="both"/>
        <w:rPr>
          <w:rFonts w:eastAsia="Arial Unicode MS"/>
          <w:b/>
          <w:sz w:val="30"/>
          <w:szCs w:val="30"/>
        </w:rPr>
      </w:pPr>
    </w:p>
    <w:p w:rsidR="00661494" w:rsidRDefault="00A8264C" w:rsidP="00A8264C">
      <w:pPr>
        <w:ind w:left="2880" w:hanging="2880"/>
        <w:jc w:val="both"/>
        <w:rPr>
          <w:rFonts w:eastAsia="Arial Unicode MS"/>
          <w:b/>
          <w:sz w:val="30"/>
          <w:szCs w:val="30"/>
        </w:rPr>
      </w:pPr>
      <w:r w:rsidRPr="00775896">
        <w:rPr>
          <w:rFonts w:eastAsia="Arial Unicode MS"/>
          <w:b/>
          <w:sz w:val="30"/>
          <w:szCs w:val="30"/>
        </w:rPr>
        <w:t>Summary:</w:t>
      </w:r>
      <w:r w:rsidRPr="00775896">
        <w:rPr>
          <w:rFonts w:eastAsia="Arial Unicode MS"/>
          <w:b/>
          <w:sz w:val="30"/>
          <w:szCs w:val="30"/>
        </w:rPr>
        <w:tab/>
      </w:r>
      <w:r w:rsidR="00D00967">
        <w:rPr>
          <w:rFonts w:eastAsia="Arial Unicode MS"/>
          <w:b/>
          <w:sz w:val="30"/>
          <w:szCs w:val="30"/>
        </w:rPr>
        <w:t xml:space="preserve">Civil </w:t>
      </w:r>
      <w:r>
        <w:rPr>
          <w:rFonts w:eastAsia="Arial Unicode MS"/>
          <w:b/>
          <w:sz w:val="30"/>
          <w:szCs w:val="30"/>
        </w:rPr>
        <w:t xml:space="preserve">Procedure – Application </w:t>
      </w:r>
      <w:r w:rsidR="00D00967">
        <w:rPr>
          <w:rFonts w:eastAsia="Arial Unicode MS"/>
          <w:b/>
          <w:sz w:val="30"/>
          <w:szCs w:val="30"/>
        </w:rPr>
        <w:t>f</w:t>
      </w:r>
      <w:r>
        <w:rPr>
          <w:rFonts w:eastAsia="Arial Unicode MS"/>
          <w:b/>
          <w:sz w:val="30"/>
          <w:szCs w:val="30"/>
        </w:rPr>
        <w:t>o</w:t>
      </w:r>
      <w:r w:rsidR="00D00967">
        <w:rPr>
          <w:rFonts w:eastAsia="Arial Unicode MS"/>
          <w:b/>
          <w:sz w:val="30"/>
          <w:szCs w:val="30"/>
        </w:rPr>
        <w:t xml:space="preserve">r leave to appeal against the order of the High Court dismissing </w:t>
      </w:r>
      <w:r w:rsidR="00C0627F">
        <w:rPr>
          <w:rFonts w:eastAsia="Arial Unicode MS"/>
          <w:b/>
          <w:sz w:val="30"/>
          <w:szCs w:val="30"/>
        </w:rPr>
        <w:t>the appellant’s applicatio</w:t>
      </w:r>
      <w:r>
        <w:rPr>
          <w:rFonts w:eastAsia="Arial Unicode MS"/>
          <w:b/>
          <w:sz w:val="30"/>
          <w:szCs w:val="30"/>
        </w:rPr>
        <w:t>n</w:t>
      </w:r>
      <w:r w:rsidR="00C0627F">
        <w:rPr>
          <w:rFonts w:eastAsia="Arial Unicode MS"/>
          <w:b/>
          <w:sz w:val="30"/>
          <w:szCs w:val="30"/>
        </w:rPr>
        <w:t xml:space="preserve"> for summary</w:t>
      </w:r>
      <w:r w:rsidR="00D81F23">
        <w:rPr>
          <w:rFonts w:eastAsia="Arial Unicode MS"/>
          <w:b/>
          <w:sz w:val="30"/>
          <w:szCs w:val="30"/>
        </w:rPr>
        <w:t xml:space="preserve"> judgment – Section 14 (1) of the Court of Appeal Act – The applicant filing a notice of motion for leave to appeal but failing to support it with an affidavit – The Court </w:t>
      </w:r>
      <w:r w:rsidR="00D81F23">
        <w:rPr>
          <w:rFonts w:eastAsia="Arial Unicode MS"/>
          <w:b/>
          <w:i/>
          <w:sz w:val="30"/>
          <w:szCs w:val="30"/>
        </w:rPr>
        <w:t>a quo</w:t>
      </w:r>
      <w:r w:rsidR="00D81F23">
        <w:rPr>
          <w:rFonts w:eastAsia="Arial Unicode MS"/>
          <w:b/>
          <w:sz w:val="30"/>
          <w:szCs w:val="30"/>
        </w:rPr>
        <w:t xml:space="preserve"> in effect correctly holding the view </w:t>
      </w:r>
      <w:r w:rsidR="00661494">
        <w:rPr>
          <w:rFonts w:eastAsia="Arial Unicode MS"/>
          <w:b/>
          <w:sz w:val="30"/>
          <w:szCs w:val="30"/>
        </w:rPr>
        <w:t xml:space="preserve">that the respondent raised triable issues – Application for leave to appeal refused with costs – </w:t>
      </w:r>
      <w:r w:rsidR="002A0F42">
        <w:rPr>
          <w:rFonts w:eastAsia="Arial Unicode MS"/>
          <w:b/>
          <w:sz w:val="30"/>
          <w:szCs w:val="30"/>
        </w:rPr>
        <w:t>T</w:t>
      </w:r>
      <w:r w:rsidR="00661494">
        <w:rPr>
          <w:rFonts w:eastAsia="Arial Unicode MS"/>
          <w:b/>
          <w:sz w:val="30"/>
          <w:szCs w:val="30"/>
        </w:rPr>
        <w:t xml:space="preserve">he defendant given </w:t>
      </w:r>
      <w:r w:rsidR="00C461BD">
        <w:rPr>
          <w:rFonts w:eastAsia="Arial Unicode MS"/>
          <w:b/>
          <w:sz w:val="30"/>
          <w:szCs w:val="30"/>
        </w:rPr>
        <w:t xml:space="preserve">leave </w:t>
      </w:r>
      <w:r w:rsidR="00661494">
        <w:rPr>
          <w:rFonts w:eastAsia="Arial Unicode MS"/>
          <w:b/>
          <w:sz w:val="30"/>
          <w:szCs w:val="30"/>
        </w:rPr>
        <w:t>to file his plea by not later than 14 December 2013.</w:t>
      </w:r>
    </w:p>
    <w:p w:rsidR="00661494" w:rsidRDefault="00661494" w:rsidP="00A8264C">
      <w:pPr>
        <w:ind w:left="2880" w:hanging="2880"/>
        <w:jc w:val="both"/>
        <w:rPr>
          <w:rFonts w:eastAsia="Arial Unicode MS"/>
          <w:b/>
          <w:sz w:val="30"/>
          <w:szCs w:val="30"/>
        </w:rPr>
      </w:pPr>
    </w:p>
    <w:p w:rsidR="00A8264C" w:rsidRDefault="00A8264C" w:rsidP="00A8264C">
      <w:pPr>
        <w:ind w:left="2880" w:hanging="2880"/>
        <w:jc w:val="both"/>
        <w:rPr>
          <w:rFonts w:eastAsia="Arial Unicode MS"/>
          <w:b/>
          <w:sz w:val="30"/>
          <w:szCs w:val="30"/>
        </w:rPr>
      </w:pPr>
    </w:p>
    <w:p w:rsidR="00A8264C" w:rsidRDefault="00A8264C" w:rsidP="00A8264C">
      <w:pPr>
        <w:ind w:left="2880" w:hanging="2880"/>
        <w:jc w:val="center"/>
        <w:rPr>
          <w:rFonts w:eastAsia="Arial Unicode MS"/>
          <w:b/>
          <w:sz w:val="30"/>
          <w:szCs w:val="30"/>
          <w:u w:val="single"/>
        </w:rPr>
      </w:pPr>
    </w:p>
    <w:p w:rsidR="00A8264C" w:rsidRPr="00775896" w:rsidRDefault="00A8264C" w:rsidP="00A8264C">
      <w:pPr>
        <w:ind w:left="2880" w:hanging="2880"/>
        <w:jc w:val="center"/>
        <w:rPr>
          <w:rFonts w:eastAsia="Arial Unicode MS"/>
          <w:b/>
          <w:sz w:val="30"/>
          <w:szCs w:val="30"/>
          <w:u w:val="single"/>
        </w:rPr>
      </w:pPr>
      <w:r w:rsidRPr="00775896">
        <w:rPr>
          <w:rFonts w:eastAsia="Arial Unicode MS"/>
          <w:b/>
          <w:sz w:val="30"/>
          <w:szCs w:val="30"/>
          <w:u w:val="single"/>
        </w:rPr>
        <w:t>JUDGMENT</w:t>
      </w:r>
    </w:p>
    <w:p w:rsidR="00A8264C" w:rsidRPr="00775896" w:rsidRDefault="00A8264C" w:rsidP="00A8264C">
      <w:pPr>
        <w:ind w:left="2880" w:hanging="2880"/>
        <w:jc w:val="both"/>
        <w:rPr>
          <w:rFonts w:eastAsia="Arial Unicode MS"/>
          <w:b/>
          <w:sz w:val="30"/>
          <w:szCs w:val="30"/>
        </w:rPr>
      </w:pPr>
    </w:p>
    <w:p w:rsidR="00A8264C" w:rsidRPr="00775896" w:rsidRDefault="00A8264C" w:rsidP="00A8264C">
      <w:pPr>
        <w:ind w:left="2880" w:hanging="2880"/>
        <w:jc w:val="both"/>
        <w:rPr>
          <w:rFonts w:eastAsia="Arial Unicode MS"/>
          <w:b/>
          <w:sz w:val="30"/>
          <w:szCs w:val="30"/>
        </w:rPr>
      </w:pPr>
    </w:p>
    <w:p w:rsidR="00A8264C" w:rsidRPr="00775896" w:rsidRDefault="00A8264C" w:rsidP="00A8264C">
      <w:pPr>
        <w:ind w:left="2880" w:hanging="2880"/>
        <w:jc w:val="both"/>
        <w:rPr>
          <w:rFonts w:eastAsia="Arial Unicode MS"/>
          <w:b/>
          <w:sz w:val="30"/>
          <w:szCs w:val="30"/>
        </w:rPr>
      </w:pPr>
      <w:r w:rsidRPr="00775896">
        <w:rPr>
          <w:rFonts w:eastAsia="Arial Unicode MS"/>
          <w:b/>
          <w:sz w:val="30"/>
          <w:szCs w:val="30"/>
        </w:rPr>
        <w:t>RAMODIBEDI CJ</w:t>
      </w:r>
    </w:p>
    <w:p w:rsidR="00A8264C" w:rsidRPr="00775896" w:rsidRDefault="00A8264C" w:rsidP="00A8264C">
      <w:pPr>
        <w:ind w:left="2880" w:hanging="2880"/>
        <w:jc w:val="both"/>
        <w:rPr>
          <w:rFonts w:eastAsia="Arial Unicode MS"/>
          <w:sz w:val="30"/>
          <w:szCs w:val="30"/>
        </w:rPr>
      </w:pPr>
    </w:p>
    <w:p w:rsidR="00A8264C" w:rsidRPr="00775896" w:rsidRDefault="00A8264C" w:rsidP="00A8264C">
      <w:pPr>
        <w:ind w:left="2880" w:hanging="2880"/>
        <w:jc w:val="both"/>
        <w:rPr>
          <w:rFonts w:eastAsia="Arial Unicode MS"/>
          <w:sz w:val="30"/>
          <w:szCs w:val="30"/>
        </w:rPr>
      </w:pPr>
    </w:p>
    <w:p w:rsidR="00661494" w:rsidRDefault="00A8264C" w:rsidP="00A8264C">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sidR="00661494">
        <w:rPr>
          <w:rFonts w:eastAsia="Arial Unicode MS"/>
          <w:sz w:val="30"/>
          <w:szCs w:val="30"/>
        </w:rPr>
        <w:t>In t</w:t>
      </w:r>
      <w:r>
        <w:rPr>
          <w:rFonts w:eastAsia="Arial Unicode MS"/>
          <w:sz w:val="30"/>
          <w:szCs w:val="30"/>
        </w:rPr>
        <w:t xml:space="preserve">hese proceedings </w:t>
      </w:r>
      <w:r w:rsidR="00661494">
        <w:rPr>
          <w:rFonts w:eastAsia="Arial Unicode MS"/>
          <w:sz w:val="30"/>
          <w:szCs w:val="30"/>
        </w:rPr>
        <w:t>the applicant has applied to this Court for leave to appeal against the order of the High Court dismissing his application for summary judgment against the respondent.  For the sake of convenience, I shall henceforth refer to the applicant as plaintiff and the respondent as defendant respectively as the case may be.</w:t>
      </w:r>
    </w:p>
    <w:p w:rsidR="001577A4" w:rsidRDefault="00661494" w:rsidP="00A8264C">
      <w:pPr>
        <w:spacing w:line="480" w:lineRule="auto"/>
        <w:ind w:left="720" w:hanging="720"/>
        <w:jc w:val="both"/>
        <w:rPr>
          <w:rFonts w:eastAsia="Arial Unicode MS"/>
          <w:sz w:val="30"/>
          <w:szCs w:val="30"/>
        </w:rPr>
      </w:pPr>
      <w:r>
        <w:rPr>
          <w:rFonts w:eastAsia="Arial Unicode MS"/>
          <w:sz w:val="30"/>
          <w:szCs w:val="30"/>
        </w:rPr>
        <w:lastRenderedPageBreak/>
        <w:t>[2]</w:t>
      </w:r>
      <w:r>
        <w:rPr>
          <w:rFonts w:eastAsia="Arial Unicode MS"/>
          <w:sz w:val="30"/>
          <w:szCs w:val="30"/>
        </w:rPr>
        <w:tab/>
      </w:r>
      <w:r w:rsidR="000245E8">
        <w:rPr>
          <w:rFonts w:eastAsia="Arial Unicode MS"/>
          <w:sz w:val="30"/>
          <w:szCs w:val="30"/>
        </w:rPr>
        <w:t>At the outset, I should mention one glaring shortcoming in the applicant’s application.  It is this.  Contrary to Rule 9 of the Court of Appeal Rules 1954 which enjoins the applicant to verify by affidavit the facts in support of the application for leave to appeal, the applicant</w:t>
      </w:r>
      <w:r w:rsidR="00EB07B1">
        <w:rPr>
          <w:rFonts w:eastAsia="Arial Unicode MS"/>
          <w:sz w:val="30"/>
          <w:szCs w:val="30"/>
        </w:rPr>
        <w:t xml:space="preserve"> failed to file any affidavit at all.  The result </w:t>
      </w:r>
      <w:r w:rsidR="007A52AD">
        <w:rPr>
          <w:rFonts w:eastAsia="Arial Unicode MS"/>
          <w:sz w:val="30"/>
          <w:szCs w:val="30"/>
        </w:rPr>
        <w:t xml:space="preserve">is that there are no facts on affidavit upon which this Court is called upon to exercise its discretion either way.  I shall bear this factor in mind </w:t>
      </w:r>
      <w:r w:rsidR="00C41BEB">
        <w:rPr>
          <w:rFonts w:eastAsia="Arial Unicode MS"/>
          <w:sz w:val="30"/>
          <w:szCs w:val="30"/>
        </w:rPr>
        <w:t xml:space="preserve">against the applicant </w:t>
      </w:r>
      <w:r w:rsidR="007A52AD">
        <w:rPr>
          <w:rFonts w:eastAsia="Arial Unicode MS"/>
          <w:sz w:val="30"/>
          <w:szCs w:val="30"/>
        </w:rPr>
        <w:t xml:space="preserve">in the order proposed below.  It shall suffice at this juncture to mention that </w:t>
      </w:r>
      <w:proofErr w:type="spellStart"/>
      <w:r w:rsidR="007A52AD" w:rsidRPr="007A52AD">
        <w:rPr>
          <w:rFonts w:eastAsia="Arial Unicode MS"/>
          <w:sz w:val="30"/>
          <w:szCs w:val="30"/>
          <w:u w:val="single"/>
        </w:rPr>
        <w:t>Mr</w:t>
      </w:r>
      <w:proofErr w:type="spellEnd"/>
      <w:r w:rsidR="007A52AD" w:rsidRPr="007A52AD">
        <w:rPr>
          <w:rFonts w:eastAsia="Arial Unicode MS"/>
          <w:sz w:val="30"/>
          <w:szCs w:val="30"/>
          <w:u w:val="single"/>
        </w:rPr>
        <w:t xml:space="preserve"> Z.D. </w:t>
      </w:r>
      <w:proofErr w:type="spellStart"/>
      <w:r w:rsidR="007A52AD" w:rsidRPr="007A52AD">
        <w:rPr>
          <w:rFonts w:eastAsia="Arial Unicode MS"/>
          <w:sz w:val="30"/>
          <w:szCs w:val="30"/>
          <w:u w:val="single"/>
        </w:rPr>
        <w:t>Jele</w:t>
      </w:r>
      <w:proofErr w:type="spellEnd"/>
      <w:r w:rsidR="007A52AD">
        <w:rPr>
          <w:rFonts w:eastAsia="Arial Unicode MS"/>
          <w:sz w:val="30"/>
          <w:szCs w:val="30"/>
        </w:rPr>
        <w:t xml:space="preserve"> for the</w:t>
      </w:r>
      <w:r w:rsidR="001577A4">
        <w:rPr>
          <w:rFonts w:eastAsia="Arial Unicode MS"/>
          <w:sz w:val="30"/>
          <w:szCs w:val="30"/>
        </w:rPr>
        <w:t xml:space="preserve"> defendant made a valid point, in my view</w:t>
      </w:r>
      <w:r w:rsidR="00C41BEB">
        <w:rPr>
          <w:rFonts w:eastAsia="Arial Unicode MS"/>
          <w:sz w:val="30"/>
          <w:szCs w:val="30"/>
        </w:rPr>
        <w:t>,</w:t>
      </w:r>
      <w:r w:rsidR="001577A4">
        <w:rPr>
          <w:rFonts w:eastAsia="Arial Unicode MS"/>
          <w:sz w:val="30"/>
          <w:szCs w:val="30"/>
        </w:rPr>
        <w:t xml:space="preserve"> in his submission that the application stands to fall at the first hurdle.</w:t>
      </w:r>
    </w:p>
    <w:p w:rsidR="001577A4" w:rsidRDefault="001577A4" w:rsidP="00A8264C">
      <w:pPr>
        <w:spacing w:line="480" w:lineRule="auto"/>
        <w:ind w:left="720" w:hanging="720"/>
        <w:jc w:val="both"/>
        <w:rPr>
          <w:rFonts w:eastAsia="Arial Unicode MS"/>
          <w:sz w:val="30"/>
          <w:szCs w:val="30"/>
        </w:rPr>
      </w:pPr>
    </w:p>
    <w:p w:rsidR="006E15ED" w:rsidRDefault="001577A4" w:rsidP="003860C2">
      <w:pPr>
        <w:tabs>
          <w:tab w:val="left" w:pos="630"/>
        </w:tabs>
        <w:spacing w:line="480" w:lineRule="auto"/>
        <w:ind w:left="630" w:hanging="630"/>
        <w:jc w:val="both"/>
        <w:rPr>
          <w:rFonts w:eastAsia="Arial Unicode MS"/>
          <w:sz w:val="30"/>
          <w:szCs w:val="30"/>
        </w:rPr>
      </w:pPr>
      <w:r>
        <w:rPr>
          <w:rFonts w:eastAsia="Arial Unicode MS"/>
          <w:sz w:val="30"/>
          <w:szCs w:val="30"/>
        </w:rPr>
        <w:t>[3]</w:t>
      </w:r>
      <w:r>
        <w:rPr>
          <w:rFonts w:eastAsia="Arial Unicode MS"/>
          <w:sz w:val="30"/>
          <w:szCs w:val="30"/>
        </w:rPr>
        <w:tab/>
      </w:r>
      <w:r w:rsidR="007A52AD">
        <w:rPr>
          <w:rFonts w:eastAsia="Arial Unicode MS"/>
          <w:sz w:val="30"/>
          <w:szCs w:val="30"/>
        </w:rPr>
        <w:t xml:space="preserve"> </w:t>
      </w:r>
      <w:r w:rsidR="000245E8" w:rsidRPr="007A52AD">
        <w:rPr>
          <w:rFonts w:eastAsia="Arial Unicode MS"/>
          <w:sz w:val="30"/>
          <w:szCs w:val="30"/>
        </w:rPr>
        <w:t>The</w:t>
      </w:r>
      <w:r w:rsidR="000245E8">
        <w:rPr>
          <w:rFonts w:eastAsia="Arial Unicode MS"/>
          <w:sz w:val="30"/>
          <w:szCs w:val="30"/>
        </w:rPr>
        <w:t xml:space="preserve"> background facts leading up to this application are as follows.  </w:t>
      </w:r>
      <w:r w:rsidR="00661494">
        <w:rPr>
          <w:rFonts w:eastAsia="Arial Unicode MS"/>
          <w:sz w:val="30"/>
          <w:szCs w:val="30"/>
        </w:rPr>
        <w:t xml:space="preserve">On 19 March 2009, the plaintiff issued out a combined summons against the defendant in the High Court.  </w:t>
      </w:r>
      <w:r w:rsidR="006E15ED">
        <w:rPr>
          <w:rFonts w:eastAsia="Arial Unicode MS"/>
          <w:sz w:val="30"/>
          <w:szCs w:val="30"/>
        </w:rPr>
        <w:t>It turned out, however, that the defendant actually passed away as long ago as 16 August 1993.  Henceforth</w:t>
      </w:r>
      <w:r w:rsidR="00840834">
        <w:rPr>
          <w:rFonts w:eastAsia="Arial Unicode MS"/>
          <w:sz w:val="30"/>
          <w:szCs w:val="30"/>
        </w:rPr>
        <w:t>,</w:t>
      </w:r>
      <w:r w:rsidR="006E15ED">
        <w:rPr>
          <w:rFonts w:eastAsia="Arial Unicode MS"/>
          <w:sz w:val="30"/>
          <w:szCs w:val="30"/>
        </w:rPr>
        <w:t xml:space="preserve"> it will be convenient to refer to him alternatively as defendant or “the deceased” depending on the context.  </w:t>
      </w:r>
      <w:r w:rsidR="00661494">
        <w:rPr>
          <w:rFonts w:eastAsia="Arial Unicode MS"/>
          <w:sz w:val="30"/>
          <w:szCs w:val="30"/>
        </w:rPr>
        <w:t>Be that as it may</w:t>
      </w:r>
      <w:r w:rsidR="00840834">
        <w:rPr>
          <w:rFonts w:eastAsia="Arial Unicode MS"/>
          <w:sz w:val="30"/>
          <w:szCs w:val="30"/>
        </w:rPr>
        <w:t>,</w:t>
      </w:r>
      <w:r w:rsidR="00661494">
        <w:rPr>
          <w:rFonts w:eastAsia="Arial Unicode MS"/>
          <w:sz w:val="30"/>
          <w:szCs w:val="30"/>
        </w:rPr>
        <w:t xml:space="preserve"> </w:t>
      </w:r>
      <w:r w:rsidR="00D76AB0">
        <w:rPr>
          <w:rFonts w:eastAsia="Arial Unicode MS"/>
          <w:sz w:val="30"/>
          <w:szCs w:val="30"/>
        </w:rPr>
        <w:t>the</w:t>
      </w:r>
      <w:r w:rsidR="00661494">
        <w:rPr>
          <w:rFonts w:eastAsia="Arial Unicode MS"/>
          <w:sz w:val="30"/>
          <w:szCs w:val="30"/>
        </w:rPr>
        <w:t xml:space="preserve"> plaintiff</w:t>
      </w:r>
      <w:r w:rsidR="006E15ED">
        <w:rPr>
          <w:rFonts w:eastAsia="Arial Unicode MS"/>
          <w:sz w:val="30"/>
          <w:szCs w:val="30"/>
        </w:rPr>
        <w:t xml:space="preserve"> alleged in its particulars of </w:t>
      </w:r>
      <w:r w:rsidR="006E15ED">
        <w:rPr>
          <w:rFonts w:eastAsia="Arial Unicode MS"/>
          <w:sz w:val="30"/>
          <w:szCs w:val="30"/>
        </w:rPr>
        <w:lastRenderedPageBreak/>
        <w:t>claim that it was the registered owner of immovable property described as Portion 224 of Farm Dalriach No. 188 situate in the District of Hhohho, Swaziland.</w:t>
      </w:r>
    </w:p>
    <w:p w:rsidR="006E15ED" w:rsidRDefault="006E15ED" w:rsidP="00A8264C">
      <w:pPr>
        <w:spacing w:line="480" w:lineRule="auto"/>
        <w:ind w:left="720" w:hanging="720"/>
        <w:jc w:val="both"/>
        <w:rPr>
          <w:rFonts w:eastAsia="Arial Unicode MS"/>
          <w:sz w:val="30"/>
          <w:szCs w:val="30"/>
        </w:rPr>
      </w:pPr>
    </w:p>
    <w:p w:rsidR="003C373A" w:rsidRDefault="006E15ED" w:rsidP="00A8264C">
      <w:pPr>
        <w:spacing w:line="480" w:lineRule="auto"/>
        <w:ind w:left="720" w:hanging="720"/>
        <w:jc w:val="both"/>
        <w:rPr>
          <w:rFonts w:eastAsia="Arial Unicode MS"/>
          <w:sz w:val="30"/>
          <w:szCs w:val="30"/>
        </w:rPr>
      </w:pPr>
      <w:r>
        <w:rPr>
          <w:rFonts w:eastAsia="Arial Unicode MS"/>
          <w:sz w:val="30"/>
          <w:szCs w:val="30"/>
        </w:rPr>
        <w:t>[</w:t>
      </w:r>
      <w:r w:rsidR="003860C2">
        <w:rPr>
          <w:rFonts w:eastAsia="Arial Unicode MS"/>
          <w:sz w:val="30"/>
          <w:szCs w:val="30"/>
        </w:rPr>
        <w:t>4</w:t>
      </w:r>
      <w:r>
        <w:rPr>
          <w:rFonts w:eastAsia="Arial Unicode MS"/>
          <w:sz w:val="30"/>
          <w:szCs w:val="30"/>
        </w:rPr>
        <w:t>]</w:t>
      </w:r>
      <w:r>
        <w:rPr>
          <w:rFonts w:eastAsia="Arial Unicode MS"/>
          <w:sz w:val="30"/>
          <w:szCs w:val="30"/>
        </w:rPr>
        <w:tab/>
        <w:t>The</w:t>
      </w:r>
      <w:r w:rsidR="003C373A">
        <w:rPr>
          <w:rFonts w:eastAsia="Arial Unicode MS"/>
          <w:sz w:val="30"/>
          <w:szCs w:val="30"/>
        </w:rPr>
        <w:t xml:space="preserve"> plaintiff further allege</w:t>
      </w:r>
      <w:r w:rsidR="00840834">
        <w:rPr>
          <w:rFonts w:eastAsia="Arial Unicode MS"/>
          <w:sz w:val="30"/>
          <w:szCs w:val="30"/>
        </w:rPr>
        <w:t>d</w:t>
      </w:r>
      <w:r w:rsidR="003C373A">
        <w:rPr>
          <w:rFonts w:eastAsia="Arial Unicode MS"/>
          <w:sz w:val="30"/>
          <w:szCs w:val="30"/>
        </w:rPr>
        <w:t xml:space="preserve"> in its particulars of claim that the defendant and/or some other persons unknown to it had unlawfully and without its consent “retained occupation” and “contin</w:t>
      </w:r>
      <w:r w:rsidR="00840834">
        <w:rPr>
          <w:rFonts w:eastAsia="Arial Unicode MS"/>
          <w:sz w:val="30"/>
          <w:szCs w:val="30"/>
        </w:rPr>
        <w:t>u</w:t>
      </w:r>
      <w:r w:rsidR="003C373A">
        <w:rPr>
          <w:rFonts w:eastAsia="Arial Unicode MS"/>
          <w:sz w:val="30"/>
          <w:szCs w:val="30"/>
        </w:rPr>
        <w:t xml:space="preserve">ed occupation or possession of the property” in question.  </w:t>
      </w:r>
    </w:p>
    <w:p w:rsidR="003C373A" w:rsidRDefault="003C373A" w:rsidP="00A8264C">
      <w:pPr>
        <w:spacing w:line="480" w:lineRule="auto"/>
        <w:ind w:left="720" w:hanging="720"/>
        <w:jc w:val="both"/>
        <w:rPr>
          <w:rFonts w:eastAsia="Arial Unicode MS"/>
          <w:sz w:val="30"/>
          <w:szCs w:val="30"/>
        </w:rPr>
      </w:pPr>
    </w:p>
    <w:p w:rsidR="003C373A" w:rsidRDefault="003C373A" w:rsidP="00A8264C">
      <w:pPr>
        <w:spacing w:line="480" w:lineRule="auto"/>
        <w:ind w:left="720" w:hanging="720"/>
        <w:jc w:val="both"/>
        <w:rPr>
          <w:rFonts w:eastAsia="Arial Unicode MS"/>
          <w:sz w:val="30"/>
          <w:szCs w:val="30"/>
        </w:rPr>
      </w:pPr>
      <w:r>
        <w:rPr>
          <w:rFonts w:eastAsia="Arial Unicode MS"/>
          <w:sz w:val="30"/>
          <w:szCs w:val="30"/>
        </w:rPr>
        <w:t>[</w:t>
      </w:r>
      <w:r w:rsidR="003860C2">
        <w:rPr>
          <w:rFonts w:eastAsia="Arial Unicode MS"/>
          <w:sz w:val="30"/>
          <w:szCs w:val="30"/>
        </w:rPr>
        <w:t>5</w:t>
      </w:r>
      <w:r>
        <w:rPr>
          <w:rFonts w:eastAsia="Arial Unicode MS"/>
          <w:sz w:val="30"/>
          <w:szCs w:val="30"/>
        </w:rPr>
        <w:t>]</w:t>
      </w:r>
      <w:r>
        <w:rPr>
          <w:rFonts w:eastAsia="Arial Unicode MS"/>
          <w:sz w:val="30"/>
          <w:szCs w:val="30"/>
        </w:rPr>
        <w:tab/>
        <w:t>Accordingly, the plaintiff prayed for the following relief:-</w:t>
      </w:r>
    </w:p>
    <w:p w:rsidR="003C373A" w:rsidRDefault="003C373A" w:rsidP="00A8264C">
      <w:pPr>
        <w:spacing w:line="480" w:lineRule="auto"/>
        <w:ind w:left="720" w:hanging="720"/>
        <w:jc w:val="both"/>
        <w:rPr>
          <w:rFonts w:eastAsia="Arial Unicode MS"/>
          <w:sz w:val="30"/>
          <w:szCs w:val="30"/>
        </w:rPr>
      </w:pPr>
    </w:p>
    <w:p w:rsidR="003C373A" w:rsidRDefault="003C373A" w:rsidP="00D71EBA">
      <w:pPr>
        <w:spacing w:line="360" w:lineRule="auto"/>
        <w:ind w:left="2070" w:hanging="720"/>
        <w:jc w:val="both"/>
        <w:rPr>
          <w:rFonts w:eastAsia="Arial Unicode MS"/>
          <w:i/>
          <w:sz w:val="30"/>
          <w:szCs w:val="30"/>
        </w:rPr>
      </w:pPr>
      <w:r>
        <w:rPr>
          <w:rFonts w:eastAsia="Arial Unicode MS"/>
          <w:i/>
          <w:sz w:val="30"/>
          <w:szCs w:val="30"/>
        </w:rPr>
        <w:t xml:space="preserve">“(a)  Ejectment of the Defendant and whosoever is in occupation or holding title through the Defendant from Portion 224 of Farm Dalriach No. 188 District of Hhohho, Swaziland.  </w:t>
      </w:r>
    </w:p>
    <w:p w:rsidR="003C373A" w:rsidRDefault="003C373A" w:rsidP="00D71EBA">
      <w:pPr>
        <w:spacing w:line="360" w:lineRule="auto"/>
        <w:ind w:left="720"/>
        <w:jc w:val="both"/>
        <w:rPr>
          <w:rFonts w:eastAsia="Arial Unicode MS"/>
          <w:i/>
          <w:sz w:val="30"/>
          <w:szCs w:val="30"/>
        </w:rPr>
      </w:pPr>
    </w:p>
    <w:p w:rsidR="003C373A" w:rsidRDefault="003C373A" w:rsidP="00D71EBA">
      <w:pPr>
        <w:tabs>
          <w:tab w:val="left" w:pos="1350"/>
          <w:tab w:val="left" w:pos="1440"/>
        </w:tabs>
        <w:spacing w:line="360" w:lineRule="auto"/>
        <w:ind w:left="1350"/>
        <w:jc w:val="both"/>
        <w:rPr>
          <w:rFonts w:eastAsia="Arial Unicode MS"/>
          <w:i/>
          <w:sz w:val="30"/>
          <w:szCs w:val="30"/>
        </w:rPr>
      </w:pPr>
      <w:r>
        <w:rPr>
          <w:rFonts w:eastAsia="Arial Unicode MS"/>
          <w:i/>
          <w:sz w:val="30"/>
          <w:szCs w:val="30"/>
        </w:rPr>
        <w:t>(b)  Costs of suit.</w:t>
      </w:r>
    </w:p>
    <w:p w:rsidR="00D71EBA" w:rsidRDefault="00D71EBA" w:rsidP="00D71EBA">
      <w:pPr>
        <w:tabs>
          <w:tab w:val="left" w:pos="1350"/>
          <w:tab w:val="left" w:pos="1440"/>
        </w:tabs>
        <w:spacing w:line="360" w:lineRule="auto"/>
        <w:ind w:left="1350"/>
        <w:jc w:val="both"/>
        <w:rPr>
          <w:rFonts w:eastAsia="Arial Unicode MS"/>
          <w:i/>
          <w:sz w:val="30"/>
          <w:szCs w:val="30"/>
        </w:rPr>
      </w:pPr>
    </w:p>
    <w:p w:rsidR="003C373A" w:rsidRDefault="003C373A" w:rsidP="00D71EBA">
      <w:pPr>
        <w:tabs>
          <w:tab w:val="left" w:pos="1350"/>
          <w:tab w:val="left" w:pos="1440"/>
        </w:tabs>
        <w:spacing w:line="360" w:lineRule="auto"/>
        <w:ind w:left="1350"/>
        <w:jc w:val="both"/>
        <w:rPr>
          <w:rFonts w:eastAsia="Arial Unicode MS"/>
          <w:i/>
          <w:sz w:val="30"/>
          <w:szCs w:val="30"/>
        </w:rPr>
      </w:pPr>
      <w:r>
        <w:rPr>
          <w:rFonts w:eastAsia="Arial Unicode MS"/>
          <w:i/>
          <w:sz w:val="30"/>
          <w:szCs w:val="30"/>
        </w:rPr>
        <w:t>(c) Further and/or alternative relief.”</w:t>
      </w:r>
    </w:p>
    <w:p w:rsidR="003C373A" w:rsidRDefault="003C373A" w:rsidP="003C373A">
      <w:pPr>
        <w:tabs>
          <w:tab w:val="left" w:pos="1350"/>
          <w:tab w:val="left" w:pos="1440"/>
        </w:tabs>
        <w:spacing w:line="480" w:lineRule="auto"/>
        <w:ind w:left="1350"/>
        <w:jc w:val="both"/>
        <w:rPr>
          <w:rFonts w:eastAsia="Arial Unicode MS"/>
          <w:i/>
          <w:sz w:val="30"/>
          <w:szCs w:val="30"/>
        </w:rPr>
      </w:pPr>
    </w:p>
    <w:p w:rsidR="0082762D" w:rsidRDefault="003C373A" w:rsidP="00D71EBA">
      <w:pPr>
        <w:tabs>
          <w:tab w:val="left" w:pos="1440"/>
        </w:tabs>
        <w:spacing w:line="480" w:lineRule="auto"/>
        <w:ind w:left="720" w:hanging="720"/>
        <w:jc w:val="both"/>
        <w:rPr>
          <w:rFonts w:eastAsia="Arial Unicode MS"/>
          <w:sz w:val="30"/>
          <w:szCs w:val="30"/>
        </w:rPr>
      </w:pPr>
      <w:r>
        <w:rPr>
          <w:rFonts w:eastAsia="Arial Unicode MS"/>
          <w:sz w:val="30"/>
          <w:szCs w:val="30"/>
        </w:rPr>
        <w:lastRenderedPageBreak/>
        <w:t>[</w:t>
      </w:r>
      <w:r w:rsidR="003860C2">
        <w:rPr>
          <w:rFonts w:eastAsia="Arial Unicode MS"/>
          <w:sz w:val="30"/>
          <w:szCs w:val="30"/>
        </w:rPr>
        <w:t>6</w:t>
      </w:r>
      <w:r>
        <w:rPr>
          <w:rFonts w:eastAsia="Arial Unicode MS"/>
          <w:sz w:val="30"/>
          <w:szCs w:val="30"/>
        </w:rPr>
        <w:t xml:space="preserve">]  It is necessary to stress at the outset that this litigation has throughout been conducted on the mutual understanding that  the phrase </w:t>
      </w:r>
      <w:r w:rsidR="00581D51">
        <w:rPr>
          <w:rFonts w:eastAsia="Arial Unicode MS"/>
          <w:sz w:val="30"/>
          <w:szCs w:val="30"/>
        </w:rPr>
        <w:t>“</w:t>
      </w:r>
      <w:r>
        <w:rPr>
          <w:rFonts w:eastAsia="Arial Unicode MS"/>
          <w:sz w:val="30"/>
          <w:szCs w:val="30"/>
        </w:rPr>
        <w:t>and who</w:t>
      </w:r>
      <w:r w:rsidR="00581D51">
        <w:rPr>
          <w:rFonts w:eastAsia="Arial Unicode MS"/>
          <w:sz w:val="30"/>
          <w:szCs w:val="30"/>
        </w:rPr>
        <w:t>soever is in occupation” in prayer (a) included the defendant’s sons, namely, Jabulani Harrisson Nkabinde (“Jabulani”) who is the heir to the deceased’s estate and</w:t>
      </w:r>
      <w:r w:rsidR="003F3E51">
        <w:rPr>
          <w:rFonts w:eastAsia="Arial Unicode MS"/>
          <w:sz w:val="30"/>
          <w:szCs w:val="30"/>
        </w:rPr>
        <w:t xml:space="preserve"> his younger brother </w:t>
      </w:r>
      <w:r w:rsidR="00581D51">
        <w:rPr>
          <w:rFonts w:eastAsia="Arial Unicode MS"/>
          <w:sz w:val="30"/>
          <w:szCs w:val="30"/>
        </w:rPr>
        <w:t xml:space="preserve"> Solomon Themba Nkabinde (“Solomon”).  It is </w:t>
      </w:r>
      <w:r w:rsidR="003F3E51">
        <w:rPr>
          <w:rFonts w:eastAsia="Arial Unicode MS"/>
          <w:sz w:val="30"/>
          <w:szCs w:val="30"/>
        </w:rPr>
        <w:t xml:space="preserve">probably for that reason that no formal application for substitution was made.  </w:t>
      </w:r>
    </w:p>
    <w:p w:rsidR="0082762D" w:rsidRDefault="0082762D" w:rsidP="00D71EBA">
      <w:pPr>
        <w:tabs>
          <w:tab w:val="left" w:pos="1440"/>
        </w:tabs>
        <w:spacing w:line="480" w:lineRule="auto"/>
        <w:ind w:left="720" w:hanging="720"/>
        <w:jc w:val="both"/>
        <w:rPr>
          <w:rFonts w:eastAsia="Arial Unicode MS"/>
          <w:sz w:val="30"/>
          <w:szCs w:val="30"/>
        </w:rPr>
      </w:pPr>
    </w:p>
    <w:p w:rsidR="00FF0276" w:rsidRDefault="0082762D" w:rsidP="00D71EBA">
      <w:pPr>
        <w:tabs>
          <w:tab w:val="left" w:pos="1440"/>
        </w:tabs>
        <w:spacing w:line="480" w:lineRule="auto"/>
        <w:ind w:left="720" w:hanging="720"/>
        <w:jc w:val="both"/>
        <w:rPr>
          <w:rFonts w:eastAsia="Arial Unicode MS"/>
          <w:sz w:val="30"/>
          <w:szCs w:val="30"/>
        </w:rPr>
      </w:pPr>
      <w:r>
        <w:rPr>
          <w:rFonts w:eastAsia="Arial Unicode MS"/>
          <w:sz w:val="30"/>
          <w:szCs w:val="30"/>
        </w:rPr>
        <w:t>[</w:t>
      </w:r>
      <w:r w:rsidR="003860C2">
        <w:rPr>
          <w:rFonts w:eastAsia="Arial Unicode MS"/>
          <w:sz w:val="30"/>
          <w:szCs w:val="30"/>
        </w:rPr>
        <w:t>7</w:t>
      </w:r>
      <w:r>
        <w:rPr>
          <w:rFonts w:eastAsia="Arial Unicode MS"/>
          <w:sz w:val="30"/>
          <w:szCs w:val="30"/>
        </w:rPr>
        <w:t>]</w:t>
      </w:r>
      <w:r>
        <w:rPr>
          <w:rFonts w:eastAsia="Arial Unicode MS"/>
          <w:sz w:val="30"/>
          <w:szCs w:val="30"/>
        </w:rPr>
        <w:tab/>
      </w:r>
      <w:r w:rsidR="003F3E51">
        <w:rPr>
          <w:rFonts w:eastAsia="Arial Unicode MS"/>
          <w:sz w:val="30"/>
          <w:szCs w:val="30"/>
        </w:rPr>
        <w:t xml:space="preserve">On 6 April 2009, and after delivery of a notice of intention to defend, the plaintiff filed an application for summary judgment on the ground that the defendant had no </w:t>
      </w:r>
      <w:r w:rsidR="003F3E51">
        <w:rPr>
          <w:rFonts w:eastAsia="Arial Unicode MS"/>
          <w:i/>
          <w:sz w:val="30"/>
          <w:szCs w:val="30"/>
        </w:rPr>
        <w:t>bona fide</w:t>
      </w:r>
      <w:r w:rsidR="003F3E51">
        <w:rPr>
          <w:rFonts w:eastAsia="Arial Unicode MS"/>
          <w:sz w:val="30"/>
          <w:szCs w:val="30"/>
        </w:rPr>
        <w:t xml:space="preserve"> defence and that the notice of intention to defend had been entered solely for the purposes of delay.</w:t>
      </w:r>
    </w:p>
    <w:p w:rsidR="00FF0276" w:rsidRDefault="00FF0276" w:rsidP="003C373A">
      <w:pPr>
        <w:tabs>
          <w:tab w:val="left" w:pos="1350"/>
          <w:tab w:val="left" w:pos="1440"/>
        </w:tabs>
        <w:spacing w:line="480" w:lineRule="auto"/>
        <w:ind w:left="1350" w:hanging="1350"/>
        <w:jc w:val="both"/>
        <w:rPr>
          <w:rFonts w:eastAsia="Arial Unicode MS"/>
          <w:sz w:val="30"/>
          <w:szCs w:val="30"/>
        </w:rPr>
      </w:pPr>
    </w:p>
    <w:p w:rsidR="00FF0276" w:rsidRDefault="00FF0276" w:rsidP="003860C2">
      <w:pPr>
        <w:tabs>
          <w:tab w:val="left" w:pos="720"/>
          <w:tab w:val="left" w:pos="1440"/>
        </w:tabs>
        <w:spacing w:line="480" w:lineRule="auto"/>
        <w:ind w:left="720" w:hanging="720"/>
        <w:jc w:val="both"/>
        <w:rPr>
          <w:rFonts w:eastAsia="Arial Unicode MS"/>
          <w:sz w:val="30"/>
          <w:szCs w:val="30"/>
        </w:rPr>
      </w:pPr>
      <w:r>
        <w:rPr>
          <w:rFonts w:eastAsia="Arial Unicode MS"/>
          <w:sz w:val="30"/>
          <w:szCs w:val="30"/>
        </w:rPr>
        <w:t>[</w:t>
      </w:r>
      <w:r w:rsidR="003860C2">
        <w:rPr>
          <w:rFonts w:eastAsia="Arial Unicode MS"/>
          <w:sz w:val="30"/>
          <w:szCs w:val="30"/>
        </w:rPr>
        <w:t>8</w:t>
      </w:r>
      <w:r>
        <w:rPr>
          <w:rFonts w:eastAsia="Arial Unicode MS"/>
          <w:sz w:val="30"/>
          <w:szCs w:val="30"/>
        </w:rPr>
        <w:t>]</w:t>
      </w:r>
      <w:r>
        <w:rPr>
          <w:rFonts w:eastAsia="Arial Unicode MS"/>
          <w:sz w:val="30"/>
          <w:szCs w:val="30"/>
        </w:rPr>
        <w:tab/>
        <w:t>On 24 April 2009, and as he was evidently entitled to do so in the circumstances in terms of Rule 32 (5) of the High Court Rules 1954, Solomon filed an affidavit resisting summary judgment.  Similarly, Jabulani filed a supporting affidavit.</w:t>
      </w:r>
    </w:p>
    <w:p w:rsidR="00FF0276" w:rsidRDefault="00FF0276" w:rsidP="00D71EBA">
      <w:pPr>
        <w:tabs>
          <w:tab w:val="left" w:pos="720"/>
        </w:tabs>
        <w:spacing w:line="480" w:lineRule="auto"/>
        <w:ind w:left="720" w:hanging="720"/>
        <w:jc w:val="both"/>
        <w:rPr>
          <w:rFonts w:eastAsia="Arial Unicode MS"/>
          <w:sz w:val="30"/>
          <w:szCs w:val="30"/>
        </w:rPr>
      </w:pPr>
      <w:r>
        <w:rPr>
          <w:rFonts w:eastAsia="Arial Unicode MS"/>
          <w:sz w:val="30"/>
          <w:szCs w:val="30"/>
        </w:rPr>
        <w:lastRenderedPageBreak/>
        <w:t>[</w:t>
      </w:r>
      <w:r w:rsidR="003860C2">
        <w:rPr>
          <w:rFonts w:eastAsia="Arial Unicode MS"/>
          <w:sz w:val="30"/>
          <w:szCs w:val="30"/>
        </w:rPr>
        <w:t>9</w:t>
      </w:r>
      <w:r>
        <w:rPr>
          <w:rFonts w:eastAsia="Arial Unicode MS"/>
          <w:sz w:val="30"/>
          <w:szCs w:val="30"/>
        </w:rPr>
        <w:t>]</w:t>
      </w:r>
      <w:r>
        <w:rPr>
          <w:rFonts w:eastAsia="Arial Unicode MS"/>
          <w:sz w:val="30"/>
          <w:szCs w:val="30"/>
        </w:rPr>
        <w:tab/>
        <w:t>The crux of the defence raised to plaintiff’s application for summary judgment was multidimensional.  In a nutshell, the defence raised the following issues</w:t>
      </w:r>
      <w:r w:rsidR="00D71EBA">
        <w:rPr>
          <w:rFonts w:eastAsia="Arial Unicode MS"/>
          <w:sz w:val="30"/>
          <w:szCs w:val="30"/>
        </w:rPr>
        <w:t>:</w:t>
      </w:r>
      <w:r>
        <w:rPr>
          <w:rFonts w:eastAsia="Arial Unicode MS"/>
          <w:sz w:val="30"/>
          <w:szCs w:val="30"/>
        </w:rPr>
        <w:t>-</w:t>
      </w:r>
    </w:p>
    <w:p w:rsidR="00FF0276" w:rsidRDefault="00FF0276" w:rsidP="003C373A">
      <w:pPr>
        <w:tabs>
          <w:tab w:val="left" w:pos="1350"/>
          <w:tab w:val="left" w:pos="1440"/>
        </w:tabs>
        <w:spacing w:line="480" w:lineRule="auto"/>
        <w:ind w:left="1350" w:hanging="1350"/>
        <w:jc w:val="both"/>
        <w:rPr>
          <w:rFonts w:eastAsia="Arial Unicode MS"/>
          <w:sz w:val="30"/>
          <w:szCs w:val="30"/>
        </w:rPr>
      </w:pPr>
    </w:p>
    <w:p w:rsidR="003C70A6" w:rsidRDefault="00D71EBA" w:rsidP="00D71EBA">
      <w:pPr>
        <w:pStyle w:val="ListParagraph"/>
        <w:numPr>
          <w:ilvl w:val="0"/>
          <w:numId w:val="3"/>
        </w:numPr>
        <w:tabs>
          <w:tab w:val="left" w:pos="1350"/>
          <w:tab w:val="left" w:pos="1440"/>
          <w:tab w:val="left" w:pos="1710"/>
        </w:tabs>
        <w:spacing w:line="480" w:lineRule="auto"/>
        <w:ind w:left="1620" w:hanging="720"/>
        <w:jc w:val="both"/>
        <w:rPr>
          <w:rFonts w:eastAsia="Arial Unicode MS"/>
          <w:sz w:val="30"/>
          <w:szCs w:val="30"/>
        </w:rPr>
      </w:pPr>
      <w:r>
        <w:rPr>
          <w:rFonts w:eastAsia="Arial Unicode MS"/>
          <w:sz w:val="30"/>
          <w:szCs w:val="30"/>
        </w:rPr>
        <w:t xml:space="preserve"> </w:t>
      </w:r>
      <w:r w:rsidR="00FF0276" w:rsidRPr="00D71EBA">
        <w:rPr>
          <w:rFonts w:eastAsia="Arial Unicode MS"/>
          <w:sz w:val="30"/>
          <w:szCs w:val="30"/>
        </w:rPr>
        <w:t xml:space="preserve"> </w:t>
      </w:r>
      <w:r w:rsidRPr="00D71EBA">
        <w:rPr>
          <w:rFonts w:eastAsia="Arial Unicode MS"/>
          <w:sz w:val="30"/>
          <w:szCs w:val="30"/>
        </w:rPr>
        <w:t xml:space="preserve"> </w:t>
      </w:r>
      <w:r w:rsidR="00FF0276" w:rsidRPr="00D71EBA">
        <w:rPr>
          <w:rFonts w:eastAsia="Arial Unicode MS"/>
          <w:sz w:val="30"/>
          <w:szCs w:val="30"/>
        </w:rPr>
        <w:t xml:space="preserve">That the plaintiff’s title was based on a sale in execution which was defective in as </w:t>
      </w:r>
      <w:r w:rsidR="003C70A6" w:rsidRPr="00D71EBA">
        <w:rPr>
          <w:rFonts w:eastAsia="Arial Unicode MS"/>
          <w:sz w:val="30"/>
          <w:szCs w:val="30"/>
        </w:rPr>
        <w:t>much as the disputed property was registered in the name of the deceased</w:t>
      </w:r>
      <w:r w:rsidR="006B390F">
        <w:rPr>
          <w:rFonts w:eastAsia="Arial Unicode MS"/>
          <w:sz w:val="30"/>
          <w:szCs w:val="30"/>
        </w:rPr>
        <w:t>,</w:t>
      </w:r>
      <w:r w:rsidR="003C70A6" w:rsidRPr="00D71EBA">
        <w:rPr>
          <w:rFonts w:eastAsia="Arial Unicode MS"/>
          <w:sz w:val="30"/>
          <w:szCs w:val="30"/>
        </w:rPr>
        <w:t xml:space="preserve"> whose estate had not been cited in the court proceedings leading up to the sale.</w:t>
      </w:r>
    </w:p>
    <w:p w:rsidR="00D71EBA" w:rsidRPr="00D71EBA" w:rsidRDefault="00D71EBA" w:rsidP="00D71EBA">
      <w:pPr>
        <w:tabs>
          <w:tab w:val="left" w:pos="1350"/>
          <w:tab w:val="left" w:pos="1440"/>
        </w:tabs>
        <w:spacing w:line="480" w:lineRule="auto"/>
        <w:jc w:val="both"/>
        <w:rPr>
          <w:rFonts w:eastAsia="Arial Unicode MS"/>
          <w:sz w:val="30"/>
          <w:szCs w:val="30"/>
        </w:rPr>
      </w:pPr>
    </w:p>
    <w:p w:rsidR="003C70A6" w:rsidRDefault="00D71EBA" w:rsidP="00D71EBA">
      <w:pPr>
        <w:pStyle w:val="ListParagraph"/>
        <w:numPr>
          <w:ilvl w:val="0"/>
          <w:numId w:val="3"/>
        </w:numPr>
        <w:tabs>
          <w:tab w:val="left" w:pos="1350"/>
          <w:tab w:val="left" w:pos="1440"/>
        </w:tabs>
        <w:spacing w:line="480" w:lineRule="auto"/>
        <w:ind w:left="1620" w:hanging="630"/>
        <w:jc w:val="both"/>
        <w:rPr>
          <w:rFonts w:eastAsia="Arial Unicode MS"/>
          <w:sz w:val="30"/>
          <w:szCs w:val="30"/>
        </w:rPr>
      </w:pPr>
      <w:r>
        <w:rPr>
          <w:rFonts w:eastAsia="Arial Unicode MS"/>
          <w:sz w:val="30"/>
          <w:szCs w:val="30"/>
        </w:rPr>
        <w:t xml:space="preserve">    That the notice of sale falsely described the property as “A vacant </w:t>
      </w:r>
      <w:r w:rsidR="006B390F">
        <w:rPr>
          <w:rFonts w:eastAsia="Arial Unicode MS"/>
          <w:sz w:val="30"/>
          <w:szCs w:val="30"/>
        </w:rPr>
        <w:t xml:space="preserve">piece </w:t>
      </w:r>
      <w:r>
        <w:rPr>
          <w:rFonts w:eastAsia="Arial Unicode MS"/>
          <w:sz w:val="30"/>
          <w:szCs w:val="30"/>
        </w:rPr>
        <w:t xml:space="preserve">of land.”  Thus, the notice did not indicate that there were improvements on the property </w:t>
      </w:r>
      <w:r w:rsidR="003860C2">
        <w:rPr>
          <w:rFonts w:eastAsia="Arial Unicode MS"/>
          <w:sz w:val="30"/>
          <w:szCs w:val="30"/>
        </w:rPr>
        <w:t xml:space="preserve">such as a dwelling </w:t>
      </w:r>
      <w:r>
        <w:rPr>
          <w:rFonts w:eastAsia="Arial Unicode MS"/>
          <w:sz w:val="30"/>
          <w:szCs w:val="30"/>
        </w:rPr>
        <w:t>house</w:t>
      </w:r>
      <w:r w:rsidR="00E86C12">
        <w:rPr>
          <w:rFonts w:eastAsia="Arial Unicode MS"/>
          <w:sz w:val="30"/>
          <w:szCs w:val="30"/>
        </w:rPr>
        <w:t xml:space="preserve"> comprising, </w:t>
      </w:r>
      <w:r w:rsidR="00E86C12">
        <w:rPr>
          <w:rFonts w:eastAsia="Arial Unicode MS"/>
          <w:i/>
          <w:sz w:val="30"/>
          <w:szCs w:val="30"/>
        </w:rPr>
        <w:t xml:space="preserve">inter alia, </w:t>
      </w:r>
      <w:r w:rsidR="00E86C12" w:rsidRPr="00E86C12">
        <w:rPr>
          <w:rFonts w:eastAsia="Arial Unicode MS"/>
          <w:sz w:val="30"/>
          <w:szCs w:val="30"/>
        </w:rPr>
        <w:t>three bedrooms</w:t>
      </w:r>
      <w:r w:rsidRPr="00E86C12">
        <w:rPr>
          <w:rFonts w:eastAsia="Arial Unicode MS"/>
          <w:sz w:val="30"/>
          <w:szCs w:val="30"/>
        </w:rPr>
        <w:t>.</w:t>
      </w:r>
      <w:r>
        <w:rPr>
          <w:rFonts w:eastAsia="Arial Unicode MS"/>
          <w:sz w:val="30"/>
          <w:szCs w:val="30"/>
        </w:rPr>
        <w:t xml:space="preserve">  Hence, this was contrary to Rule 46 (8) (b) of the High Court Rules 1954.</w:t>
      </w:r>
    </w:p>
    <w:p w:rsidR="00D71EBA" w:rsidRDefault="00D71EBA" w:rsidP="00D71EBA">
      <w:pPr>
        <w:pStyle w:val="ListParagraph"/>
        <w:rPr>
          <w:rFonts w:eastAsia="Arial Unicode MS"/>
          <w:sz w:val="30"/>
          <w:szCs w:val="30"/>
        </w:rPr>
      </w:pPr>
    </w:p>
    <w:p w:rsidR="00467DDB" w:rsidRPr="00D71EBA" w:rsidRDefault="00467DDB" w:rsidP="00D71EBA">
      <w:pPr>
        <w:pStyle w:val="ListParagraph"/>
        <w:rPr>
          <w:rFonts w:eastAsia="Arial Unicode MS"/>
          <w:sz w:val="30"/>
          <w:szCs w:val="30"/>
        </w:rPr>
      </w:pPr>
    </w:p>
    <w:p w:rsidR="00D71EBA" w:rsidRPr="00467DDB" w:rsidRDefault="00D71EBA" w:rsidP="00467DDB">
      <w:pPr>
        <w:pStyle w:val="ListParagraph"/>
        <w:numPr>
          <w:ilvl w:val="0"/>
          <w:numId w:val="3"/>
        </w:numPr>
        <w:tabs>
          <w:tab w:val="left" w:pos="1350"/>
          <w:tab w:val="left" w:pos="1440"/>
        </w:tabs>
        <w:spacing w:line="480" w:lineRule="auto"/>
        <w:ind w:left="1710" w:hanging="720"/>
        <w:jc w:val="both"/>
        <w:rPr>
          <w:rFonts w:eastAsia="Arial Unicode MS"/>
          <w:sz w:val="30"/>
          <w:szCs w:val="30"/>
        </w:rPr>
      </w:pPr>
      <w:r>
        <w:rPr>
          <w:rFonts w:eastAsia="Arial Unicode MS"/>
          <w:sz w:val="30"/>
          <w:szCs w:val="30"/>
        </w:rPr>
        <w:t xml:space="preserve">     </w:t>
      </w:r>
      <w:r w:rsidR="00FA51C9">
        <w:rPr>
          <w:rFonts w:eastAsia="Arial Unicode MS"/>
          <w:sz w:val="30"/>
          <w:szCs w:val="30"/>
        </w:rPr>
        <w:t xml:space="preserve">That the property was purchased by a Deputy </w:t>
      </w:r>
      <w:proofErr w:type="gramStart"/>
      <w:r w:rsidR="00FA51C9">
        <w:rPr>
          <w:rFonts w:eastAsia="Arial Unicode MS"/>
          <w:sz w:val="30"/>
          <w:szCs w:val="30"/>
        </w:rPr>
        <w:t xml:space="preserve">Sheriff </w:t>
      </w:r>
      <w:r w:rsidR="00DC7D75">
        <w:rPr>
          <w:rFonts w:eastAsia="Arial Unicode MS"/>
          <w:sz w:val="30"/>
          <w:szCs w:val="30"/>
        </w:rPr>
        <w:t xml:space="preserve"> </w:t>
      </w:r>
      <w:r w:rsidR="00FA51C9">
        <w:rPr>
          <w:rFonts w:eastAsia="Arial Unicode MS"/>
          <w:sz w:val="30"/>
          <w:szCs w:val="30"/>
        </w:rPr>
        <w:t>purporting</w:t>
      </w:r>
      <w:proofErr w:type="gramEnd"/>
      <w:r w:rsidR="00FA51C9">
        <w:rPr>
          <w:rFonts w:eastAsia="Arial Unicode MS"/>
          <w:sz w:val="30"/>
          <w:szCs w:val="30"/>
        </w:rPr>
        <w:t xml:space="preserve"> </w:t>
      </w:r>
      <w:r w:rsidR="00101EC8">
        <w:rPr>
          <w:rFonts w:eastAsia="Arial Unicode MS"/>
          <w:sz w:val="30"/>
          <w:szCs w:val="30"/>
        </w:rPr>
        <w:t>to act on behalf of the plaintiff.</w:t>
      </w:r>
    </w:p>
    <w:p w:rsidR="00063AB6" w:rsidRDefault="00FD63A8" w:rsidP="00063AB6">
      <w:pPr>
        <w:tabs>
          <w:tab w:val="left" w:pos="900"/>
          <w:tab w:val="left" w:pos="1350"/>
        </w:tabs>
        <w:spacing w:line="480" w:lineRule="auto"/>
        <w:ind w:left="720" w:hanging="720"/>
        <w:jc w:val="both"/>
        <w:rPr>
          <w:rFonts w:eastAsia="Arial Unicode MS"/>
          <w:sz w:val="30"/>
          <w:szCs w:val="30"/>
        </w:rPr>
      </w:pPr>
      <w:r>
        <w:rPr>
          <w:rFonts w:eastAsia="Arial Unicode MS"/>
          <w:sz w:val="30"/>
          <w:szCs w:val="30"/>
        </w:rPr>
        <w:lastRenderedPageBreak/>
        <w:t>[</w:t>
      </w:r>
      <w:r w:rsidR="00467DDB">
        <w:rPr>
          <w:rFonts w:eastAsia="Arial Unicode MS"/>
          <w:sz w:val="30"/>
          <w:szCs w:val="30"/>
        </w:rPr>
        <w:t>10</w:t>
      </w:r>
      <w:r>
        <w:rPr>
          <w:rFonts w:eastAsia="Arial Unicode MS"/>
          <w:sz w:val="30"/>
          <w:szCs w:val="30"/>
        </w:rPr>
        <w:t>]</w:t>
      </w:r>
      <w:r>
        <w:rPr>
          <w:rFonts w:eastAsia="Arial Unicode MS"/>
          <w:sz w:val="30"/>
          <w:szCs w:val="30"/>
        </w:rPr>
        <w:tab/>
        <w:t xml:space="preserve">The </w:t>
      </w:r>
      <w:r w:rsidRPr="00FD63A8">
        <w:rPr>
          <w:rFonts w:eastAsia="Arial Unicode MS"/>
          <w:i/>
          <w:sz w:val="30"/>
          <w:szCs w:val="30"/>
        </w:rPr>
        <w:t>Court a quo</w:t>
      </w:r>
      <w:r>
        <w:rPr>
          <w:rFonts w:eastAsia="Arial Unicode MS"/>
          <w:sz w:val="30"/>
          <w:szCs w:val="30"/>
        </w:rPr>
        <w:t xml:space="preserve"> in effect</w:t>
      </w:r>
      <w:r w:rsidR="00063AB6">
        <w:rPr>
          <w:rFonts w:eastAsia="Arial Unicode MS"/>
          <w:sz w:val="30"/>
          <w:szCs w:val="30"/>
        </w:rPr>
        <w:t xml:space="preserve"> c</w:t>
      </w:r>
      <w:r w:rsidR="009C7AF0">
        <w:rPr>
          <w:rFonts w:eastAsia="Arial Unicode MS"/>
          <w:sz w:val="30"/>
          <w:szCs w:val="30"/>
        </w:rPr>
        <w:t>a</w:t>
      </w:r>
      <w:r w:rsidR="00063AB6">
        <w:rPr>
          <w:rFonts w:eastAsia="Arial Unicode MS"/>
          <w:sz w:val="30"/>
          <w:szCs w:val="30"/>
        </w:rPr>
        <w:t xml:space="preserve">me to the conclusion that, given the drastic nature of summary judgment proceedings in closing the door </w:t>
      </w:r>
      <w:r w:rsidR="00030C94">
        <w:rPr>
          <w:rFonts w:eastAsia="Arial Unicode MS"/>
          <w:sz w:val="30"/>
          <w:szCs w:val="30"/>
        </w:rPr>
        <w:t>t</w:t>
      </w:r>
      <w:r w:rsidR="00063AB6">
        <w:rPr>
          <w:rFonts w:eastAsia="Arial Unicode MS"/>
          <w:sz w:val="30"/>
          <w:szCs w:val="30"/>
        </w:rPr>
        <w:t>o the defendant without trial, the defences raised in the preceding paragraph raised triable issues.  Accordingly, the court refused summary judgment.  Hence this appeal.</w:t>
      </w:r>
    </w:p>
    <w:p w:rsidR="00063AB6" w:rsidRDefault="00063AB6" w:rsidP="00063AB6">
      <w:pPr>
        <w:tabs>
          <w:tab w:val="left" w:pos="900"/>
          <w:tab w:val="left" w:pos="1350"/>
        </w:tabs>
        <w:spacing w:line="480" w:lineRule="auto"/>
        <w:ind w:left="720" w:hanging="720"/>
        <w:jc w:val="both"/>
        <w:rPr>
          <w:rFonts w:eastAsia="Arial Unicode MS"/>
          <w:sz w:val="30"/>
          <w:szCs w:val="30"/>
        </w:rPr>
      </w:pPr>
    </w:p>
    <w:p w:rsidR="00063AB6" w:rsidRDefault="00063AB6" w:rsidP="00063AB6">
      <w:pPr>
        <w:tabs>
          <w:tab w:val="left" w:pos="900"/>
          <w:tab w:val="left" w:pos="1350"/>
        </w:tabs>
        <w:spacing w:line="480" w:lineRule="auto"/>
        <w:ind w:left="720" w:hanging="720"/>
        <w:jc w:val="both"/>
        <w:rPr>
          <w:rFonts w:eastAsia="Arial Unicode MS"/>
          <w:sz w:val="30"/>
          <w:szCs w:val="30"/>
        </w:rPr>
      </w:pPr>
      <w:r>
        <w:rPr>
          <w:rFonts w:eastAsia="Arial Unicode MS"/>
          <w:sz w:val="30"/>
          <w:szCs w:val="30"/>
        </w:rPr>
        <w:t>[1</w:t>
      </w:r>
      <w:r w:rsidR="004F4C65">
        <w:rPr>
          <w:rFonts w:eastAsia="Arial Unicode MS"/>
          <w:sz w:val="30"/>
          <w:szCs w:val="30"/>
        </w:rPr>
        <w:t>1</w:t>
      </w:r>
      <w:r>
        <w:rPr>
          <w:rFonts w:eastAsia="Arial Unicode MS"/>
          <w:sz w:val="30"/>
          <w:szCs w:val="30"/>
        </w:rPr>
        <w:t>]</w:t>
      </w:r>
      <w:r>
        <w:rPr>
          <w:rFonts w:eastAsia="Arial Unicode MS"/>
          <w:sz w:val="30"/>
          <w:szCs w:val="30"/>
        </w:rPr>
        <w:tab/>
        <w:t xml:space="preserve">In determining the correctness or otherwise of the </w:t>
      </w:r>
      <w:r>
        <w:rPr>
          <w:rFonts w:eastAsia="Arial Unicode MS"/>
          <w:i/>
          <w:sz w:val="30"/>
          <w:szCs w:val="30"/>
        </w:rPr>
        <w:t>court a quo’s</w:t>
      </w:r>
      <w:r>
        <w:rPr>
          <w:rFonts w:eastAsia="Arial Unicode MS"/>
          <w:sz w:val="30"/>
          <w:szCs w:val="30"/>
        </w:rPr>
        <w:t xml:space="preserve">   decision, it is necessary to have regard to our law relating to summary judgment.  I start by observing that, in several of its decisions, this Court ha</w:t>
      </w:r>
      <w:r w:rsidR="009C7AF0">
        <w:rPr>
          <w:rFonts w:eastAsia="Arial Unicode MS"/>
          <w:sz w:val="30"/>
          <w:szCs w:val="30"/>
        </w:rPr>
        <w:t>s</w:t>
      </w:r>
      <w:r>
        <w:rPr>
          <w:rFonts w:eastAsia="Arial Unicode MS"/>
          <w:sz w:val="30"/>
          <w:szCs w:val="30"/>
        </w:rPr>
        <w:t xml:space="preserve"> expressed itself on the subject in no uncertain terms.  Thus, for example, I, myself had occasion to add my own voice in the following terms in the case of </w:t>
      </w:r>
      <w:r>
        <w:rPr>
          <w:rFonts w:eastAsia="Arial Unicode MS"/>
          <w:b/>
          <w:sz w:val="30"/>
          <w:szCs w:val="30"/>
          <w:u w:val="single"/>
        </w:rPr>
        <w:t>Zanele Zwane v Lewis Stores (Pty) Ltd c/a Best Electric, Civil Appeal No. 22/07</w:t>
      </w:r>
      <w:r>
        <w:rPr>
          <w:rFonts w:eastAsia="Arial Unicode MS"/>
          <w:sz w:val="30"/>
          <w:szCs w:val="30"/>
        </w:rPr>
        <w:t xml:space="preserve"> at paragraph [8]:-</w:t>
      </w:r>
    </w:p>
    <w:p w:rsidR="009C7AF0" w:rsidRDefault="009C7AF0" w:rsidP="00063AB6">
      <w:pPr>
        <w:tabs>
          <w:tab w:val="left" w:pos="900"/>
          <w:tab w:val="left" w:pos="1350"/>
        </w:tabs>
        <w:spacing w:line="480" w:lineRule="auto"/>
        <w:ind w:left="720" w:hanging="720"/>
        <w:jc w:val="both"/>
        <w:rPr>
          <w:rFonts w:eastAsia="Arial Unicode MS"/>
          <w:sz w:val="30"/>
          <w:szCs w:val="30"/>
        </w:rPr>
      </w:pPr>
    </w:p>
    <w:p w:rsidR="001E5811" w:rsidRDefault="00063AB6" w:rsidP="00063AB6">
      <w:pPr>
        <w:tabs>
          <w:tab w:val="left" w:pos="900"/>
          <w:tab w:val="left" w:pos="1350"/>
        </w:tabs>
        <w:spacing w:line="480" w:lineRule="auto"/>
        <w:ind w:left="720" w:hanging="720"/>
        <w:jc w:val="both"/>
        <w:rPr>
          <w:rFonts w:eastAsia="Arial Unicode MS"/>
          <w:b/>
          <w:i/>
          <w:sz w:val="30"/>
          <w:szCs w:val="30"/>
        </w:rPr>
      </w:pPr>
      <w:r>
        <w:rPr>
          <w:rFonts w:eastAsia="Arial Unicode MS"/>
          <w:sz w:val="30"/>
          <w:szCs w:val="30"/>
        </w:rPr>
        <w:tab/>
      </w:r>
      <w:r>
        <w:rPr>
          <w:rFonts w:eastAsia="Arial Unicode MS"/>
          <w:sz w:val="30"/>
          <w:szCs w:val="30"/>
        </w:rPr>
        <w:tab/>
      </w:r>
      <w:r>
        <w:rPr>
          <w:rFonts w:eastAsia="Arial Unicode MS"/>
          <w:i/>
          <w:sz w:val="30"/>
          <w:szCs w:val="30"/>
        </w:rPr>
        <w:t>“[8</w:t>
      </w:r>
      <w:r w:rsidR="001C4412">
        <w:rPr>
          <w:rFonts w:eastAsia="Arial Unicode MS"/>
          <w:i/>
          <w:sz w:val="30"/>
          <w:szCs w:val="30"/>
        </w:rPr>
        <w:t>] It</w:t>
      </w:r>
      <w:r>
        <w:rPr>
          <w:rFonts w:eastAsia="Arial Unicode MS"/>
          <w:i/>
          <w:sz w:val="30"/>
          <w:szCs w:val="30"/>
        </w:rPr>
        <w:t xml:space="preserve"> is well-recognised </w:t>
      </w:r>
      <w:r w:rsidR="001E5811">
        <w:rPr>
          <w:rFonts w:eastAsia="Arial Unicode MS"/>
          <w:i/>
          <w:sz w:val="30"/>
          <w:szCs w:val="30"/>
        </w:rPr>
        <w:t xml:space="preserve">that summary judgment is an extraordinary remedy.  It is a very stringent one for that matter.  This is so because it closes the door to the defendant without trial.  It has the potential to become a weapon of injustice unless </w:t>
      </w:r>
      <w:r w:rsidR="001E5811">
        <w:rPr>
          <w:rFonts w:eastAsia="Arial Unicode MS"/>
          <w:i/>
          <w:sz w:val="30"/>
          <w:szCs w:val="30"/>
        </w:rPr>
        <w:lastRenderedPageBreak/>
        <w:t xml:space="preserve">properly handled.  It is for these reasons that the courts have over the years stressed that the remedy must be confined to the clearest of cases where the defendant has no bona fide defence and where the appearance to defend has been made solely for the purposes of delay.  The true import of the remedy lies in the fact that it is designed to provide a speedy and inexpensive enforcement of a plaintiff’s claim against a defendant to which there is clearly no valid defence.  See for example </w:t>
      </w:r>
      <w:r w:rsidR="001E5811">
        <w:rPr>
          <w:rFonts w:eastAsia="Arial Unicode MS"/>
          <w:b/>
          <w:i/>
          <w:sz w:val="30"/>
          <w:szCs w:val="30"/>
          <w:u w:val="single"/>
        </w:rPr>
        <w:t>Maharaj v Barclays National Bank Ltd 1976 (1) SA 418 (A)</w:t>
      </w:r>
      <w:r w:rsidR="001E5811">
        <w:rPr>
          <w:rFonts w:eastAsia="Arial Unicode MS"/>
          <w:b/>
          <w:i/>
          <w:sz w:val="30"/>
          <w:szCs w:val="30"/>
        </w:rPr>
        <w:t xml:space="preserve">; </w:t>
      </w:r>
      <w:r w:rsidR="001E5811">
        <w:rPr>
          <w:rFonts w:eastAsia="Arial Unicode MS"/>
          <w:b/>
          <w:i/>
          <w:sz w:val="30"/>
          <w:szCs w:val="30"/>
          <w:u w:val="single"/>
        </w:rPr>
        <w:t>David Chester v Central Bank of Swaziland CA 50/03</w:t>
      </w:r>
      <w:r w:rsidR="001E5811">
        <w:rPr>
          <w:rFonts w:eastAsia="Arial Unicode MS"/>
          <w:b/>
          <w:i/>
          <w:sz w:val="30"/>
          <w:szCs w:val="30"/>
        </w:rPr>
        <w:t xml:space="preserve">. </w:t>
      </w:r>
    </w:p>
    <w:p w:rsidR="001E5811" w:rsidRDefault="001E5811" w:rsidP="00063AB6">
      <w:pPr>
        <w:tabs>
          <w:tab w:val="left" w:pos="900"/>
          <w:tab w:val="left" w:pos="1350"/>
        </w:tabs>
        <w:spacing w:line="480" w:lineRule="auto"/>
        <w:ind w:left="720" w:hanging="720"/>
        <w:jc w:val="both"/>
        <w:rPr>
          <w:rFonts w:eastAsia="Arial Unicode MS"/>
          <w:i/>
          <w:sz w:val="30"/>
          <w:szCs w:val="30"/>
        </w:rPr>
      </w:pPr>
    </w:p>
    <w:p w:rsidR="00063AB6" w:rsidRDefault="001E5811" w:rsidP="00DC7D75">
      <w:pPr>
        <w:tabs>
          <w:tab w:val="left" w:pos="900"/>
          <w:tab w:val="left" w:pos="1350"/>
        </w:tabs>
        <w:spacing w:line="360" w:lineRule="auto"/>
        <w:ind w:left="720" w:hanging="720"/>
        <w:jc w:val="both"/>
        <w:rPr>
          <w:rFonts w:eastAsia="Arial Unicode MS"/>
          <w:i/>
          <w:sz w:val="30"/>
          <w:szCs w:val="30"/>
        </w:rPr>
      </w:pPr>
      <w:r>
        <w:rPr>
          <w:rFonts w:eastAsia="Arial Unicode MS"/>
          <w:i/>
          <w:sz w:val="30"/>
          <w:szCs w:val="30"/>
        </w:rPr>
        <w:tab/>
        <w:t xml:space="preserve">Each case must obviously be judged in the light of its own merits, bearing in mind always that the court has a judicial discretion whether or not to grant summary judgment.  Such a discretion must be exercised upon a consideration of all the relevant factors.  It is as such not an arbitrary </w:t>
      </w:r>
      <w:r w:rsidR="00063AB6">
        <w:rPr>
          <w:rFonts w:eastAsia="Arial Unicode MS"/>
          <w:i/>
          <w:sz w:val="30"/>
          <w:szCs w:val="30"/>
        </w:rPr>
        <w:t>discretion.”</w:t>
      </w:r>
    </w:p>
    <w:p w:rsidR="009C7AF0" w:rsidRDefault="009C7AF0" w:rsidP="00467DDB">
      <w:pPr>
        <w:tabs>
          <w:tab w:val="left" w:pos="900"/>
          <w:tab w:val="left" w:pos="1350"/>
        </w:tabs>
        <w:spacing w:line="360" w:lineRule="auto"/>
        <w:jc w:val="both"/>
        <w:rPr>
          <w:rFonts w:eastAsia="Arial Unicode MS"/>
          <w:i/>
          <w:sz w:val="30"/>
          <w:szCs w:val="30"/>
        </w:rPr>
      </w:pPr>
    </w:p>
    <w:p w:rsidR="00F701C8" w:rsidRPr="00467DDB" w:rsidRDefault="009C7AF0" w:rsidP="009C7AF0">
      <w:pPr>
        <w:tabs>
          <w:tab w:val="left" w:pos="720"/>
          <w:tab w:val="left" w:pos="900"/>
          <w:tab w:val="left" w:pos="1350"/>
        </w:tabs>
        <w:spacing w:line="480" w:lineRule="auto"/>
        <w:ind w:left="810" w:hanging="810"/>
        <w:jc w:val="both"/>
        <w:rPr>
          <w:rFonts w:eastAsia="Arial Unicode MS"/>
          <w:sz w:val="30"/>
          <w:szCs w:val="30"/>
          <w:u w:val="single"/>
        </w:rPr>
      </w:pPr>
      <w:r w:rsidRPr="009C7AF0">
        <w:rPr>
          <w:rFonts w:eastAsia="Arial Unicode MS"/>
          <w:sz w:val="30"/>
          <w:szCs w:val="30"/>
        </w:rPr>
        <w:t>[1</w:t>
      </w:r>
      <w:r w:rsidR="004F4C65">
        <w:rPr>
          <w:rFonts w:eastAsia="Arial Unicode MS"/>
          <w:sz w:val="30"/>
          <w:szCs w:val="30"/>
        </w:rPr>
        <w:t>2</w:t>
      </w:r>
      <w:r w:rsidRPr="009C7AF0">
        <w:rPr>
          <w:rFonts w:eastAsia="Arial Unicode MS"/>
          <w:sz w:val="30"/>
          <w:szCs w:val="30"/>
        </w:rPr>
        <w:t>]</w:t>
      </w:r>
      <w:r>
        <w:rPr>
          <w:rFonts w:eastAsia="Arial Unicode MS"/>
          <w:sz w:val="30"/>
          <w:szCs w:val="30"/>
        </w:rPr>
        <w:t xml:space="preserve">   Indeed</w:t>
      </w:r>
      <w:r w:rsidR="00063AB6">
        <w:rPr>
          <w:rFonts w:eastAsia="Arial Unicode MS"/>
          <w:sz w:val="30"/>
          <w:szCs w:val="30"/>
        </w:rPr>
        <w:t xml:space="preserve">, I find myself in good company in the view I hold of the matter.  In the case of </w:t>
      </w:r>
      <w:r w:rsidR="00063AB6">
        <w:rPr>
          <w:rFonts w:eastAsia="Arial Unicode MS"/>
          <w:b/>
          <w:sz w:val="30"/>
          <w:szCs w:val="30"/>
          <w:u w:val="single"/>
        </w:rPr>
        <w:t xml:space="preserve">Temahlubi Investments (Pty) Ltd v Standard Bank Swaziland Limited, Civil Appeal Case No. </w:t>
      </w:r>
      <w:r w:rsidR="00063AB6">
        <w:rPr>
          <w:rFonts w:eastAsia="Arial Unicode MS"/>
          <w:b/>
          <w:sz w:val="30"/>
          <w:szCs w:val="30"/>
          <w:u w:val="single"/>
        </w:rPr>
        <w:lastRenderedPageBreak/>
        <w:t>35/2008</w:t>
      </w:r>
      <w:r w:rsidR="004728A3" w:rsidRPr="004728A3">
        <w:rPr>
          <w:rFonts w:eastAsia="Arial Unicode MS"/>
          <w:sz w:val="30"/>
          <w:szCs w:val="30"/>
        </w:rPr>
        <w:t>,</w:t>
      </w:r>
      <w:r w:rsidR="00C77B6D">
        <w:rPr>
          <w:rFonts w:eastAsia="Arial Unicode MS"/>
          <w:sz w:val="30"/>
          <w:szCs w:val="30"/>
        </w:rPr>
        <w:t xml:space="preserve"> m</w:t>
      </w:r>
      <w:r w:rsidR="00F701C8">
        <w:rPr>
          <w:rFonts w:eastAsia="Arial Unicode MS"/>
          <w:sz w:val="30"/>
          <w:szCs w:val="30"/>
        </w:rPr>
        <w:t xml:space="preserve">y brother </w:t>
      </w:r>
      <w:proofErr w:type="spellStart"/>
      <w:r w:rsidR="00F701C8">
        <w:rPr>
          <w:rFonts w:eastAsia="Arial Unicode MS"/>
          <w:sz w:val="30"/>
          <w:szCs w:val="30"/>
        </w:rPr>
        <w:t>Ebrahim</w:t>
      </w:r>
      <w:proofErr w:type="spellEnd"/>
      <w:r w:rsidR="00F701C8">
        <w:rPr>
          <w:rFonts w:eastAsia="Arial Unicode MS"/>
          <w:sz w:val="30"/>
          <w:szCs w:val="30"/>
        </w:rPr>
        <w:t xml:space="preserve"> JA (Banda CJ and Foxcroft JA concurring) stressed the need for the applicants in summary judgment applications to “meet the </w:t>
      </w:r>
      <w:r w:rsidR="00F701C8">
        <w:rPr>
          <w:rFonts w:eastAsia="Arial Unicode MS"/>
          <w:sz w:val="30"/>
          <w:szCs w:val="30"/>
          <w:u w:val="single"/>
        </w:rPr>
        <w:t>stringent</w:t>
      </w:r>
      <w:r w:rsidR="00F701C8">
        <w:rPr>
          <w:rFonts w:eastAsia="Arial Unicode MS"/>
          <w:sz w:val="30"/>
          <w:szCs w:val="30"/>
        </w:rPr>
        <w:t xml:space="preserve"> requirements needed to be satisfied” in order to succeed.  This is such a case.  See also </w:t>
      </w:r>
      <w:r w:rsidR="00F701C8">
        <w:rPr>
          <w:rFonts w:eastAsia="Arial Unicode MS"/>
          <w:b/>
          <w:sz w:val="30"/>
          <w:szCs w:val="30"/>
          <w:u w:val="single"/>
        </w:rPr>
        <w:t>Mater Dolorosa High School v R.M.J. Stationery (Pty) Ltd, Civil Appeal Case No. 3/2005</w:t>
      </w:r>
      <w:r w:rsidR="00F701C8" w:rsidRPr="00467DDB">
        <w:rPr>
          <w:rFonts w:eastAsia="Arial Unicode MS"/>
          <w:sz w:val="30"/>
          <w:szCs w:val="30"/>
          <w:u w:val="single"/>
        </w:rPr>
        <w:t>.</w:t>
      </w:r>
    </w:p>
    <w:p w:rsidR="00F701C8" w:rsidRDefault="00F701C8" w:rsidP="00063AB6">
      <w:pPr>
        <w:tabs>
          <w:tab w:val="left" w:pos="900"/>
          <w:tab w:val="left" w:pos="1350"/>
        </w:tabs>
        <w:spacing w:line="480" w:lineRule="auto"/>
        <w:ind w:left="720" w:hanging="720"/>
        <w:jc w:val="both"/>
        <w:rPr>
          <w:rFonts w:eastAsia="Arial Unicode MS"/>
          <w:b/>
          <w:sz w:val="30"/>
          <w:szCs w:val="30"/>
          <w:u w:val="single"/>
        </w:rPr>
      </w:pPr>
    </w:p>
    <w:p w:rsidR="00F701C8" w:rsidRDefault="00F701C8" w:rsidP="00063AB6">
      <w:pPr>
        <w:tabs>
          <w:tab w:val="left" w:pos="900"/>
          <w:tab w:val="left" w:pos="1350"/>
        </w:tabs>
        <w:spacing w:line="480" w:lineRule="auto"/>
        <w:ind w:left="720" w:hanging="720"/>
        <w:jc w:val="both"/>
        <w:rPr>
          <w:rFonts w:eastAsia="Arial Unicode MS"/>
          <w:sz w:val="30"/>
          <w:szCs w:val="30"/>
        </w:rPr>
      </w:pPr>
      <w:r w:rsidRPr="00F701C8">
        <w:rPr>
          <w:rFonts w:eastAsia="Arial Unicode MS"/>
          <w:sz w:val="30"/>
          <w:szCs w:val="30"/>
        </w:rPr>
        <w:t>[1</w:t>
      </w:r>
      <w:r w:rsidR="004F4C65">
        <w:rPr>
          <w:rFonts w:eastAsia="Arial Unicode MS"/>
          <w:sz w:val="30"/>
          <w:szCs w:val="30"/>
        </w:rPr>
        <w:t>3</w:t>
      </w:r>
      <w:r w:rsidRPr="00F701C8">
        <w:rPr>
          <w:rFonts w:eastAsia="Arial Unicode MS"/>
          <w:sz w:val="30"/>
          <w:szCs w:val="30"/>
        </w:rPr>
        <w:t>]</w:t>
      </w:r>
      <w:r>
        <w:rPr>
          <w:rFonts w:eastAsia="Arial Unicode MS"/>
          <w:sz w:val="30"/>
          <w:szCs w:val="30"/>
        </w:rPr>
        <w:t xml:space="preserve">  </w:t>
      </w:r>
      <w:r w:rsidR="00063AB6">
        <w:rPr>
          <w:rFonts w:eastAsia="Arial Unicode MS"/>
          <w:sz w:val="30"/>
          <w:szCs w:val="30"/>
        </w:rPr>
        <w:t xml:space="preserve"> </w:t>
      </w:r>
      <w:r>
        <w:rPr>
          <w:rFonts w:eastAsia="Arial Unicode MS"/>
          <w:sz w:val="30"/>
          <w:szCs w:val="30"/>
        </w:rPr>
        <w:t xml:space="preserve">It is equally trite that the defendant does not have to prove his defence when resisting summary judgment application.  </w:t>
      </w:r>
      <w:r w:rsidR="00030C94">
        <w:rPr>
          <w:rFonts w:eastAsia="Arial Unicode MS"/>
          <w:sz w:val="30"/>
          <w:szCs w:val="30"/>
        </w:rPr>
        <w:t>In this jurisdiction, a</w:t>
      </w:r>
      <w:r>
        <w:rPr>
          <w:rFonts w:eastAsia="Arial Unicode MS"/>
          <w:sz w:val="30"/>
          <w:szCs w:val="30"/>
        </w:rPr>
        <w:t>ll that the defendant is required to do at that stage is to raise triable issues.  Rule 32 (4) (a) of the High Court Rules 1954 is itself authority for this proposition.  The Rule provides as follows:-</w:t>
      </w:r>
    </w:p>
    <w:p w:rsidR="00F701C8" w:rsidRDefault="00F701C8" w:rsidP="00063AB6">
      <w:pPr>
        <w:tabs>
          <w:tab w:val="left" w:pos="900"/>
          <w:tab w:val="left" w:pos="1350"/>
        </w:tabs>
        <w:spacing w:line="480" w:lineRule="auto"/>
        <w:ind w:left="720" w:hanging="720"/>
        <w:jc w:val="both"/>
        <w:rPr>
          <w:rFonts w:eastAsia="Arial Unicode MS"/>
          <w:sz w:val="30"/>
          <w:szCs w:val="30"/>
        </w:rPr>
      </w:pPr>
    </w:p>
    <w:p w:rsidR="00A756F4" w:rsidRDefault="00F701C8" w:rsidP="00A756F4">
      <w:pPr>
        <w:tabs>
          <w:tab w:val="left" w:pos="900"/>
          <w:tab w:val="left" w:pos="1350"/>
        </w:tabs>
        <w:spacing w:line="360" w:lineRule="auto"/>
        <w:ind w:left="1440" w:hanging="1440"/>
        <w:jc w:val="both"/>
        <w:rPr>
          <w:rFonts w:eastAsia="Arial Unicode MS"/>
          <w:i/>
          <w:sz w:val="30"/>
          <w:szCs w:val="30"/>
        </w:rPr>
      </w:pP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i/>
          <w:sz w:val="30"/>
          <w:szCs w:val="30"/>
        </w:rPr>
        <w:t>“(4</w:t>
      </w:r>
      <w:r w:rsidR="00115CB0">
        <w:rPr>
          <w:rFonts w:eastAsia="Arial Unicode MS"/>
          <w:i/>
          <w:sz w:val="30"/>
          <w:szCs w:val="30"/>
        </w:rPr>
        <w:t>) (</w:t>
      </w:r>
      <w:r>
        <w:rPr>
          <w:rFonts w:eastAsia="Arial Unicode MS"/>
          <w:i/>
          <w:sz w:val="30"/>
          <w:szCs w:val="30"/>
        </w:rPr>
        <w:t>a)  Unless</w:t>
      </w:r>
      <w:r w:rsidR="00D875C8">
        <w:rPr>
          <w:rFonts w:eastAsia="Arial Unicode MS"/>
          <w:i/>
          <w:sz w:val="30"/>
          <w:szCs w:val="30"/>
        </w:rPr>
        <w:t xml:space="preserve"> on the hearing of an application under sub-rule (1) either the court dismisses the application or the defendant satisfies the court with respect to the claim, or the part of the claim, to which the application relates that there </w:t>
      </w:r>
      <w:r w:rsidR="00A756F4">
        <w:rPr>
          <w:rFonts w:eastAsia="Arial Unicode MS"/>
          <w:i/>
          <w:sz w:val="30"/>
          <w:szCs w:val="30"/>
        </w:rPr>
        <w:t xml:space="preserve">is </w:t>
      </w:r>
      <w:r w:rsidR="00A756F4" w:rsidRPr="00196286">
        <w:rPr>
          <w:rFonts w:eastAsia="Arial Unicode MS"/>
          <w:i/>
          <w:sz w:val="30"/>
          <w:szCs w:val="30"/>
          <w:u w:val="single"/>
        </w:rPr>
        <w:t>an issue or question in dispute which ought to</w:t>
      </w:r>
      <w:r w:rsidR="00A756F4">
        <w:rPr>
          <w:rFonts w:eastAsia="Arial Unicode MS"/>
          <w:i/>
          <w:sz w:val="30"/>
          <w:szCs w:val="30"/>
        </w:rPr>
        <w:t xml:space="preserve"> </w:t>
      </w:r>
      <w:r w:rsidR="00A756F4" w:rsidRPr="00A64AB3">
        <w:rPr>
          <w:rFonts w:eastAsia="Arial Unicode MS"/>
          <w:i/>
          <w:sz w:val="30"/>
          <w:szCs w:val="30"/>
          <w:u w:val="single"/>
        </w:rPr>
        <w:t>be tried</w:t>
      </w:r>
      <w:r w:rsidR="00A756F4">
        <w:rPr>
          <w:rFonts w:eastAsia="Arial Unicode MS"/>
          <w:i/>
          <w:sz w:val="30"/>
          <w:szCs w:val="30"/>
        </w:rPr>
        <w:t xml:space="preserve"> or that there ought for some other reason to be a </w:t>
      </w:r>
      <w:r w:rsidR="00A756F4">
        <w:rPr>
          <w:rFonts w:eastAsia="Arial Unicode MS"/>
          <w:i/>
          <w:sz w:val="30"/>
          <w:szCs w:val="30"/>
        </w:rPr>
        <w:lastRenderedPageBreak/>
        <w:t xml:space="preserve">trial of that claim or part, the court may give such judgment for the plaintiff against that defendant on that claim or part as may be just having regard to the nature of the remedy or relief </w:t>
      </w:r>
      <w:r>
        <w:rPr>
          <w:rFonts w:eastAsia="Arial Unicode MS"/>
          <w:i/>
          <w:sz w:val="30"/>
          <w:szCs w:val="30"/>
        </w:rPr>
        <w:t>claimed.”</w:t>
      </w:r>
      <w:r w:rsidR="00DD4AFE">
        <w:rPr>
          <w:rFonts w:eastAsia="Arial Unicode MS"/>
          <w:i/>
          <w:sz w:val="30"/>
          <w:szCs w:val="30"/>
        </w:rPr>
        <w:t xml:space="preserve"> (Emphasis added.)</w:t>
      </w:r>
    </w:p>
    <w:p w:rsidR="00D71EBA" w:rsidRPr="00FD63A8" w:rsidRDefault="00D71EBA" w:rsidP="00A756F4">
      <w:pPr>
        <w:tabs>
          <w:tab w:val="left" w:pos="900"/>
          <w:tab w:val="left" w:pos="1350"/>
        </w:tabs>
        <w:spacing w:line="480" w:lineRule="auto"/>
        <w:jc w:val="both"/>
        <w:rPr>
          <w:rFonts w:eastAsia="Arial Unicode MS"/>
          <w:sz w:val="30"/>
          <w:szCs w:val="30"/>
          <w:u w:val="single"/>
        </w:rPr>
      </w:pPr>
    </w:p>
    <w:p w:rsidR="001565A9" w:rsidRDefault="001565A9" w:rsidP="00A756F4">
      <w:pPr>
        <w:pStyle w:val="ListParagraph"/>
        <w:tabs>
          <w:tab w:val="left" w:pos="1350"/>
          <w:tab w:val="left" w:pos="1440"/>
          <w:tab w:val="left" w:pos="1935"/>
        </w:tabs>
        <w:spacing w:line="480" w:lineRule="auto"/>
        <w:ind w:left="810"/>
        <w:jc w:val="both"/>
        <w:rPr>
          <w:rFonts w:eastAsia="Arial Unicode MS"/>
          <w:sz w:val="30"/>
          <w:szCs w:val="30"/>
        </w:rPr>
      </w:pPr>
      <w:r>
        <w:rPr>
          <w:rFonts w:eastAsia="Arial Unicode MS"/>
          <w:sz w:val="30"/>
          <w:szCs w:val="30"/>
        </w:rPr>
        <w:t xml:space="preserve">I </w:t>
      </w:r>
      <w:r w:rsidR="00447A15">
        <w:rPr>
          <w:rFonts w:eastAsia="Arial Unicode MS"/>
          <w:sz w:val="30"/>
          <w:szCs w:val="30"/>
        </w:rPr>
        <w:t>have underlined</w:t>
      </w:r>
      <w:r>
        <w:rPr>
          <w:rFonts w:eastAsia="Arial Unicode MS"/>
          <w:sz w:val="30"/>
          <w:szCs w:val="30"/>
        </w:rPr>
        <w:t xml:space="preserve"> the words “</w:t>
      </w:r>
      <w:r w:rsidR="00751475" w:rsidRPr="00751475">
        <w:rPr>
          <w:rFonts w:eastAsia="Arial Unicode MS"/>
          <w:sz w:val="30"/>
          <w:szCs w:val="30"/>
          <w:u w:val="single"/>
        </w:rPr>
        <w:t xml:space="preserve">an issue or question in dispute which </w:t>
      </w:r>
      <w:r>
        <w:rPr>
          <w:rFonts w:eastAsia="Arial Unicode MS"/>
          <w:sz w:val="30"/>
          <w:szCs w:val="30"/>
          <w:u w:val="single"/>
        </w:rPr>
        <w:t>ought to be tried</w:t>
      </w:r>
      <w:r>
        <w:rPr>
          <w:rFonts w:eastAsia="Arial Unicode MS"/>
          <w:sz w:val="30"/>
          <w:szCs w:val="30"/>
        </w:rPr>
        <w:t xml:space="preserve">” to indicate my view that a defendant is not expected to prove his defence at that stage.  All that is required, as I </w:t>
      </w:r>
      <w:r w:rsidR="00115CB0">
        <w:rPr>
          <w:rFonts w:eastAsia="Arial Unicode MS"/>
          <w:sz w:val="30"/>
          <w:szCs w:val="30"/>
        </w:rPr>
        <w:t>repeat</w:t>
      </w:r>
      <w:r>
        <w:rPr>
          <w:rFonts w:eastAsia="Arial Unicode MS"/>
          <w:sz w:val="30"/>
          <w:szCs w:val="30"/>
        </w:rPr>
        <w:t xml:space="preserve"> for e</w:t>
      </w:r>
      <w:r w:rsidR="00447A15">
        <w:rPr>
          <w:rFonts w:eastAsia="Arial Unicode MS"/>
          <w:sz w:val="30"/>
          <w:szCs w:val="30"/>
        </w:rPr>
        <w:t xml:space="preserve">mphasis, </w:t>
      </w:r>
      <w:r w:rsidR="00FD4E25">
        <w:rPr>
          <w:rFonts w:eastAsia="Arial Unicode MS"/>
          <w:sz w:val="30"/>
          <w:szCs w:val="30"/>
        </w:rPr>
        <w:t xml:space="preserve">is </w:t>
      </w:r>
      <w:r w:rsidR="00447A15">
        <w:rPr>
          <w:rFonts w:eastAsia="Arial Unicode MS"/>
          <w:sz w:val="30"/>
          <w:szCs w:val="30"/>
        </w:rPr>
        <w:t>for the defendant to raise a triable issue.</w:t>
      </w:r>
    </w:p>
    <w:p w:rsidR="00447A15" w:rsidRDefault="00447A15" w:rsidP="00447A15">
      <w:pPr>
        <w:pStyle w:val="ListParagraph"/>
        <w:tabs>
          <w:tab w:val="left" w:pos="1350"/>
          <w:tab w:val="left" w:pos="1440"/>
          <w:tab w:val="left" w:pos="1935"/>
        </w:tabs>
        <w:spacing w:line="480" w:lineRule="auto"/>
        <w:ind w:left="2340" w:hanging="2340"/>
        <w:jc w:val="both"/>
        <w:rPr>
          <w:rFonts w:eastAsia="Arial Unicode MS"/>
          <w:sz w:val="30"/>
          <w:szCs w:val="30"/>
        </w:rPr>
      </w:pPr>
    </w:p>
    <w:p w:rsidR="00C03F84" w:rsidRDefault="00447A15" w:rsidP="00293AEE">
      <w:pPr>
        <w:pStyle w:val="ListParagraph"/>
        <w:tabs>
          <w:tab w:val="left" w:pos="1935"/>
        </w:tabs>
        <w:spacing w:line="480" w:lineRule="auto"/>
        <w:ind w:left="810" w:hanging="810"/>
        <w:jc w:val="both"/>
        <w:rPr>
          <w:rFonts w:eastAsia="Arial Unicode MS"/>
          <w:sz w:val="30"/>
          <w:szCs w:val="30"/>
        </w:rPr>
      </w:pPr>
      <w:r>
        <w:rPr>
          <w:rFonts w:eastAsia="Arial Unicode MS"/>
          <w:sz w:val="30"/>
          <w:szCs w:val="30"/>
        </w:rPr>
        <w:t>[1</w:t>
      </w:r>
      <w:r w:rsidR="004F4C65">
        <w:rPr>
          <w:rFonts w:eastAsia="Arial Unicode MS"/>
          <w:sz w:val="30"/>
          <w:szCs w:val="30"/>
        </w:rPr>
        <w:t>4</w:t>
      </w:r>
      <w:r>
        <w:rPr>
          <w:rFonts w:eastAsia="Arial Unicode MS"/>
          <w:sz w:val="30"/>
          <w:szCs w:val="30"/>
        </w:rPr>
        <w:t>]</w:t>
      </w:r>
      <w:r>
        <w:rPr>
          <w:rFonts w:eastAsia="Arial Unicode MS"/>
          <w:sz w:val="30"/>
          <w:szCs w:val="30"/>
        </w:rPr>
        <w:tab/>
        <w:t xml:space="preserve">It is convenient at this stage to return </w:t>
      </w:r>
      <w:r w:rsidR="00C03F84">
        <w:rPr>
          <w:rFonts w:eastAsia="Arial Unicode MS"/>
          <w:sz w:val="30"/>
          <w:szCs w:val="30"/>
        </w:rPr>
        <w:t>briefly to a consideration of the issues raised in paragraph [8] above.</w:t>
      </w:r>
    </w:p>
    <w:p w:rsidR="00751475" w:rsidRPr="00293AEE" w:rsidRDefault="00751475" w:rsidP="00293AEE">
      <w:pPr>
        <w:pStyle w:val="ListParagraph"/>
        <w:tabs>
          <w:tab w:val="left" w:pos="1935"/>
        </w:tabs>
        <w:spacing w:line="480" w:lineRule="auto"/>
        <w:ind w:left="810" w:hanging="810"/>
        <w:jc w:val="both"/>
        <w:rPr>
          <w:rFonts w:eastAsia="Arial Unicode MS"/>
          <w:sz w:val="30"/>
          <w:szCs w:val="30"/>
        </w:rPr>
      </w:pPr>
    </w:p>
    <w:p w:rsidR="00751475" w:rsidRDefault="00C03F84" w:rsidP="00A756F4">
      <w:pPr>
        <w:pStyle w:val="ListParagraph"/>
        <w:numPr>
          <w:ilvl w:val="0"/>
          <w:numId w:val="4"/>
        </w:numPr>
        <w:tabs>
          <w:tab w:val="left" w:pos="1350"/>
          <w:tab w:val="left" w:pos="1440"/>
          <w:tab w:val="left" w:pos="1935"/>
        </w:tabs>
        <w:spacing w:line="480" w:lineRule="auto"/>
        <w:ind w:left="1350" w:hanging="540"/>
        <w:jc w:val="both"/>
        <w:rPr>
          <w:rFonts w:eastAsia="Arial Unicode MS"/>
          <w:sz w:val="30"/>
          <w:szCs w:val="30"/>
        </w:rPr>
      </w:pPr>
      <w:r>
        <w:rPr>
          <w:rFonts w:eastAsia="Arial Unicode MS"/>
          <w:sz w:val="30"/>
          <w:szCs w:val="30"/>
        </w:rPr>
        <w:t xml:space="preserve"> </w:t>
      </w:r>
      <w:r>
        <w:rPr>
          <w:rFonts w:eastAsia="Arial Unicode MS"/>
          <w:sz w:val="30"/>
          <w:szCs w:val="30"/>
        </w:rPr>
        <w:tab/>
        <w:t xml:space="preserve">It is not in dispute that the plaintiff’s title was based on a sale in execution which was allegedly </w:t>
      </w:r>
      <w:r w:rsidR="00931CAE">
        <w:rPr>
          <w:rFonts w:eastAsia="Arial Unicode MS"/>
          <w:sz w:val="30"/>
          <w:szCs w:val="30"/>
        </w:rPr>
        <w:t>defective inasmuch as the disputed property was registered in the name of the deceased</w:t>
      </w:r>
      <w:r w:rsidR="00293AEE">
        <w:rPr>
          <w:rFonts w:eastAsia="Arial Unicode MS"/>
          <w:sz w:val="30"/>
          <w:szCs w:val="30"/>
        </w:rPr>
        <w:t>,</w:t>
      </w:r>
      <w:r w:rsidR="00931CAE">
        <w:rPr>
          <w:rFonts w:eastAsia="Arial Unicode MS"/>
          <w:sz w:val="30"/>
          <w:szCs w:val="30"/>
        </w:rPr>
        <w:t xml:space="preserve"> whose estate had not been </w:t>
      </w:r>
      <w:r w:rsidR="00030C94">
        <w:rPr>
          <w:rFonts w:eastAsia="Arial Unicode MS"/>
          <w:sz w:val="30"/>
          <w:szCs w:val="30"/>
        </w:rPr>
        <w:t>joined</w:t>
      </w:r>
      <w:r w:rsidR="00931CAE">
        <w:rPr>
          <w:rFonts w:eastAsia="Arial Unicode MS"/>
          <w:sz w:val="30"/>
          <w:szCs w:val="30"/>
        </w:rPr>
        <w:t xml:space="preserve"> in the court proceedings leading up to the sale.</w:t>
      </w:r>
      <w:r w:rsidR="00154450">
        <w:rPr>
          <w:rFonts w:eastAsia="Arial Unicode MS"/>
          <w:sz w:val="30"/>
          <w:szCs w:val="30"/>
        </w:rPr>
        <w:t xml:space="preserve">  </w:t>
      </w:r>
    </w:p>
    <w:p w:rsidR="00751475" w:rsidRDefault="00751475" w:rsidP="00751475">
      <w:pPr>
        <w:tabs>
          <w:tab w:val="left" w:pos="1350"/>
          <w:tab w:val="left" w:pos="1440"/>
          <w:tab w:val="left" w:pos="1935"/>
        </w:tabs>
        <w:spacing w:line="480" w:lineRule="auto"/>
        <w:jc w:val="both"/>
        <w:rPr>
          <w:rFonts w:eastAsia="Arial Unicode MS"/>
          <w:sz w:val="30"/>
          <w:szCs w:val="30"/>
        </w:rPr>
      </w:pPr>
    </w:p>
    <w:p w:rsidR="00F95981" w:rsidRDefault="00751475" w:rsidP="00751475">
      <w:pPr>
        <w:tabs>
          <w:tab w:val="left" w:pos="1350"/>
          <w:tab w:val="left" w:pos="1440"/>
          <w:tab w:val="left" w:pos="1935"/>
        </w:tabs>
        <w:spacing w:line="480" w:lineRule="auto"/>
        <w:ind w:left="1350"/>
        <w:jc w:val="both"/>
        <w:rPr>
          <w:rFonts w:eastAsia="Arial Unicode MS"/>
          <w:sz w:val="30"/>
          <w:szCs w:val="30"/>
        </w:rPr>
      </w:pPr>
      <w:r>
        <w:rPr>
          <w:rFonts w:eastAsia="Arial Unicode MS"/>
          <w:sz w:val="30"/>
          <w:szCs w:val="30"/>
        </w:rPr>
        <w:lastRenderedPageBreak/>
        <w:t xml:space="preserve">Pointedly, the </w:t>
      </w:r>
      <w:proofErr w:type="spellStart"/>
      <w:r>
        <w:rPr>
          <w:rFonts w:eastAsia="Arial Unicode MS"/>
          <w:sz w:val="30"/>
          <w:szCs w:val="30"/>
        </w:rPr>
        <w:t>defence</w:t>
      </w:r>
      <w:proofErr w:type="spellEnd"/>
      <w:r>
        <w:rPr>
          <w:rFonts w:eastAsia="Arial Unicode MS"/>
          <w:sz w:val="30"/>
          <w:szCs w:val="30"/>
        </w:rPr>
        <w:t xml:space="preserve"> raised was that the provisions relating to the administration of the deceased’s estates </w:t>
      </w:r>
      <w:r w:rsidR="00F95981">
        <w:rPr>
          <w:rFonts w:eastAsia="Arial Unicode MS"/>
          <w:sz w:val="30"/>
          <w:szCs w:val="30"/>
        </w:rPr>
        <w:t xml:space="preserve">were not followed and that, consequently, “the purported execution and sale were a nullity.”  Furthermore, the </w:t>
      </w:r>
      <w:proofErr w:type="spellStart"/>
      <w:r w:rsidR="00F95981">
        <w:rPr>
          <w:rFonts w:eastAsia="Arial Unicode MS"/>
          <w:sz w:val="30"/>
          <w:szCs w:val="30"/>
        </w:rPr>
        <w:t>defence</w:t>
      </w:r>
      <w:proofErr w:type="spellEnd"/>
      <w:r w:rsidR="00F95981">
        <w:rPr>
          <w:rFonts w:eastAsia="Arial Unicode MS"/>
          <w:sz w:val="30"/>
          <w:szCs w:val="30"/>
        </w:rPr>
        <w:t xml:space="preserve"> added, for good measure, that “immovable property belonging to a deceased’s estate cannot be sold in execution unless the relevant provisions of the administration of estates have been complied with.”</w:t>
      </w:r>
    </w:p>
    <w:p w:rsidR="00F95981" w:rsidRDefault="00F95981" w:rsidP="00F95981">
      <w:pPr>
        <w:tabs>
          <w:tab w:val="left" w:pos="1350"/>
          <w:tab w:val="left" w:pos="1440"/>
          <w:tab w:val="left" w:pos="1935"/>
        </w:tabs>
        <w:spacing w:line="480" w:lineRule="auto"/>
        <w:jc w:val="both"/>
        <w:rPr>
          <w:rFonts w:eastAsia="Arial Unicode MS"/>
          <w:sz w:val="30"/>
          <w:szCs w:val="30"/>
        </w:rPr>
      </w:pPr>
    </w:p>
    <w:p w:rsidR="00C03F84" w:rsidRPr="00751475" w:rsidRDefault="00F95981" w:rsidP="00F95981">
      <w:pPr>
        <w:tabs>
          <w:tab w:val="left" w:pos="1350"/>
          <w:tab w:val="left" w:pos="1440"/>
          <w:tab w:val="left" w:pos="1935"/>
        </w:tabs>
        <w:spacing w:line="480" w:lineRule="auto"/>
        <w:ind w:left="1350"/>
        <w:jc w:val="both"/>
        <w:rPr>
          <w:rFonts w:eastAsia="Arial Unicode MS"/>
          <w:sz w:val="30"/>
          <w:szCs w:val="30"/>
        </w:rPr>
      </w:pPr>
      <w:r>
        <w:rPr>
          <w:rFonts w:eastAsia="Arial Unicode MS"/>
          <w:sz w:val="30"/>
          <w:szCs w:val="30"/>
        </w:rPr>
        <w:tab/>
      </w:r>
      <w:r w:rsidR="00154450" w:rsidRPr="00751475">
        <w:rPr>
          <w:rFonts w:eastAsia="Arial Unicode MS"/>
          <w:sz w:val="30"/>
          <w:szCs w:val="30"/>
        </w:rPr>
        <w:t>As can be seen, this issue squarely raises the question of non-joinder of an interested party</w:t>
      </w:r>
      <w:r w:rsidR="00030C94">
        <w:rPr>
          <w:rFonts w:eastAsia="Arial Unicode MS"/>
          <w:sz w:val="30"/>
          <w:szCs w:val="30"/>
        </w:rPr>
        <w:t>,</w:t>
      </w:r>
      <w:r>
        <w:rPr>
          <w:rFonts w:eastAsia="Arial Unicode MS"/>
          <w:sz w:val="30"/>
          <w:szCs w:val="30"/>
        </w:rPr>
        <w:t xml:space="preserve"> including the Master of the High Court who is responsible for the administration </w:t>
      </w:r>
      <w:r w:rsidR="001C6920">
        <w:rPr>
          <w:rFonts w:eastAsia="Arial Unicode MS"/>
          <w:sz w:val="30"/>
          <w:szCs w:val="30"/>
        </w:rPr>
        <w:t>o</w:t>
      </w:r>
      <w:r>
        <w:rPr>
          <w:rFonts w:eastAsia="Arial Unicode MS"/>
          <w:sz w:val="30"/>
          <w:szCs w:val="30"/>
        </w:rPr>
        <w:t>f the deceased’s estates in this country in terms of the Administration of Estate Act No. 28 of 1902</w:t>
      </w:r>
      <w:r w:rsidR="00154450" w:rsidRPr="00751475">
        <w:rPr>
          <w:rFonts w:eastAsia="Arial Unicode MS"/>
          <w:sz w:val="30"/>
          <w:szCs w:val="30"/>
        </w:rPr>
        <w:t>.  It is as such a valid</w:t>
      </w:r>
      <w:r w:rsidR="00226C2B" w:rsidRPr="00751475">
        <w:rPr>
          <w:rFonts w:eastAsia="Arial Unicode MS"/>
          <w:sz w:val="30"/>
          <w:szCs w:val="30"/>
        </w:rPr>
        <w:t>l</w:t>
      </w:r>
      <w:r w:rsidR="00154450" w:rsidRPr="00751475">
        <w:rPr>
          <w:rFonts w:eastAsia="Arial Unicode MS"/>
          <w:sz w:val="30"/>
          <w:szCs w:val="30"/>
        </w:rPr>
        <w:t xml:space="preserve">y </w:t>
      </w:r>
      <w:proofErr w:type="spellStart"/>
      <w:r w:rsidR="00154450" w:rsidRPr="00751475">
        <w:rPr>
          <w:rFonts w:eastAsia="Arial Unicode MS"/>
          <w:sz w:val="30"/>
          <w:szCs w:val="30"/>
        </w:rPr>
        <w:t>triable</w:t>
      </w:r>
      <w:proofErr w:type="spellEnd"/>
      <w:r w:rsidR="00154450" w:rsidRPr="00751475">
        <w:rPr>
          <w:rFonts w:eastAsia="Arial Unicode MS"/>
          <w:sz w:val="30"/>
          <w:szCs w:val="30"/>
        </w:rPr>
        <w:t xml:space="preserve"> issue in my view.</w:t>
      </w:r>
      <w:r w:rsidR="00931CAE" w:rsidRPr="00751475">
        <w:rPr>
          <w:rFonts w:eastAsia="Arial Unicode MS"/>
          <w:sz w:val="30"/>
          <w:szCs w:val="30"/>
        </w:rPr>
        <w:t xml:space="preserve">  </w:t>
      </w:r>
    </w:p>
    <w:p w:rsidR="00154450" w:rsidRDefault="00154450" w:rsidP="00154450">
      <w:pPr>
        <w:pStyle w:val="ListParagraph"/>
        <w:tabs>
          <w:tab w:val="left" w:pos="1350"/>
          <w:tab w:val="left" w:pos="1440"/>
          <w:tab w:val="left" w:pos="1935"/>
        </w:tabs>
        <w:spacing w:line="480" w:lineRule="auto"/>
        <w:ind w:left="2160"/>
        <w:jc w:val="both"/>
        <w:rPr>
          <w:rFonts w:eastAsia="Arial Unicode MS"/>
          <w:sz w:val="30"/>
          <w:szCs w:val="30"/>
        </w:rPr>
      </w:pPr>
    </w:p>
    <w:p w:rsidR="00931CAE" w:rsidRDefault="00F95042" w:rsidP="00A756F4">
      <w:pPr>
        <w:pStyle w:val="ListParagraph"/>
        <w:numPr>
          <w:ilvl w:val="0"/>
          <w:numId w:val="4"/>
        </w:numPr>
        <w:tabs>
          <w:tab w:val="left" w:pos="1350"/>
          <w:tab w:val="left" w:pos="1440"/>
          <w:tab w:val="left" w:pos="1935"/>
        </w:tabs>
        <w:spacing w:line="480" w:lineRule="auto"/>
        <w:ind w:left="1350" w:hanging="630"/>
        <w:jc w:val="both"/>
        <w:rPr>
          <w:rFonts w:eastAsia="Arial Unicode MS"/>
          <w:sz w:val="30"/>
          <w:szCs w:val="30"/>
        </w:rPr>
      </w:pPr>
      <w:r>
        <w:rPr>
          <w:rFonts w:eastAsia="Arial Unicode MS"/>
          <w:sz w:val="30"/>
          <w:szCs w:val="30"/>
        </w:rPr>
        <w:t xml:space="preserve"> </w:t>
      </w:r>
      <w:r w:rsidR="00154450">
        <w:rPr>
          <w:rFonts w:eastAsia="Arial Unicode MS"/>
          <w:sz w:val="30"/>
          <w:szCs w:val="30"/>
        </w:rPr>
        <w:t>The re</w:t>
      </w:r>
      <w:r w:rsidR="00BD633B">
        <w:rPr>
          <w:rFonts w:eastAsia="Arial Unicode MS"/>
          <w:sz w:val="30"/>
          <w:szCs w:val="30"/>
        </w:rPr>
        <w:t>cord</w:t>
      </w:r>
      <w:r w:rsidR="00154450">
        <w:rPr>
          <w:rFonts w:eastAsia="Arial Unicode MS"/>
          <w:sz w:val="30"/>
          <w:szCs w:val="30"/>
        </w:rPr>
        <w:t xml:space="preserve"> of proceedings shows at page 61 that the notice of sale described th</w:t>
      </w:r>
      <w:r w:rsidR="00030C94">
        <w:rPr>
          <w:rFonts w:eastAsia="Arial Unicode MS"/>
          <w:sz w:val="30"/>
          <w:szCs w:val="30"/>
        </w:rPr>
        <w:t>e</w:t>
      </w:r>
      <w:r w:rsidR="00154450">
        <w:rPr>
          <w:rFonts w:eastAsia="Arial Unicode MS"/>
          <w:sz w:val="30"/>
          <w:szCs w:val="30"/>
        </w:rPr>
        <w:t xml:space="preserve"> disputed property under the heading “IMPROVEMENTS” as “A vacant piece of land.”  </w:t>
      </w:r>
      <w:r w:rsidR="00154450">
        <w:rPr>
          <w:rFonts w:eastAsia="Arial Unicode MS"/>
          <w:sz w:val="30"/>
          <w:szCs w:val="30"/>
        </w:rPr>
        <w:lastRenderedPageBreak/>
        <w:t>According to the uncontested contents of paragraph 4.8 of Solomon’s affidavit resisting summary judgment this was a blatently incorrect description of the property.  The paragraph reads as follows:-</w:t>
      </w:r>
    </w:p>
    <w:p w:rsidR="00154450" w:rsidRPr="00154450" w:rsidRDefault="00154450" w:rsidP="00154450">
      <w:pPr>
        <w:pStyle w:val="ListParagraph"/>
        <w:rPr>
          <w:rFonts w:eastAsia="Arial Unicode MS"/>
          <w:sz w:val="30"/>
          <w:szCs w:val="30"/>
        </w:rPr>
      </w:pPr>
    </w:p>
    <w:p w:rsidR="003B590E" w:rsidRDefault="00154450" w:rsidP="00A756F4">
      <w:pPr>
        <w:pStyle w:val="ListParagraph"/>
        <w:tabs>
          <w:tab w:val="left" w:pos="1350"/>
          <w:tab w:val="left" w:pos="1440"/>
          <w:tab w:val="left" w:pos="1935"/>
        </w:tabs>
        <w:spacing w:line="360" w:lineRule="auto"/>
        <w:ind w:left="1620"/>
        <w:jc w:val="both"/>
        <w:rPr>
          <w:rFonts w:eastAsia="Arial Unicode MS"/>
          <w:i/>
          <w:sz w:val="30"/>
          <w:szCs w:val="30"/>
        </w:rPr>
      </w:pPr>
      <w:r>
        <w:rPr>
          <w:rFonts w:eastAsia="Arial Unicode MS"/>
          <w:i/>
          <w:sz w:val="30"/>
          <w:szCs w:val="30"/>
        </w:rPr>
        <w:t>“4.8</w:t>
      </w:r>
      <w:r w:rsidR="00B033C7">
        <w:rPr>
          <w:rFonts w:eastAsia="Arial Unicode MS"/>
          <w:i/>
          <w:sz w:val="30"/>
          <w:szCs w:val="30"/>
        </w:rPr>
        <w:t>. Thereafter</w:t>
      </w:r>
      <w:r w:rsidR="003B590E">
        <w:rPr>
          <w:rFonts w:eastAsia="Arial Unicode MS"/>
          <w:i/>
          <w:sz w:val="30"/>
          <w:szCs w:val="30"/>
        </w:rPr>
        <w:t xml:space="preserve">, a sale in execution was advertised and in that notice of sale, it was indicated that there were no improvements on the property.  The notice of sale in fact stated that this </w:t>
      </w:r>
      <w:r w:rsidR="00BD02F5">
        <w:rPr>
          <w:rFonts w:eastAsia="Arial Unicode MS"/>
          <w:i/>
          <w:sz w:val="30"/>
          <w:szCs w:val="30"/>
        </w:rPr>
        <w:t>w</w:t>
      </w:r>
      <w:r w:rsidR="003B590E">
        <w:rPr>
          <w:rFonts w:eastAsia="Arial Unicode MS"/>
          <w:i/>
          <w:sz w:val="30"/>
          <w:szCs w:val="30"/>
        </w:rPr>
        <w:t>a</w:t>
      </w:r>
      <w:r w:rsidR="00BD02F5">
        <w:rPr>
          <w:rFonts w:eastAsia="Arial Unicode MS"/>
          <w:i/>
          <w:sz w:val="30"/>
          <w:szCs w:val="30"/>
        </w:rPr>
        <w:t>s a</w:t>
      </w:r>
      <w:r w:rsidR="003B590E">
        <w:rPr>
          <w:rFonts w:eastAsia="Arial Unicode MS"/>
          <w:i/>
          <w:sz w:val="30"/>
          <w:szCs w:val="30"/>
        </w:rPr>
        <w:t xml:space="preserve"> vacant piece of land.  Again, this information was factually incorrect and I am advised rendered the sale to be defective in that there is a requirement </w:t>
      </w:r>
      <w:r w:rsidR="00293AEE">
        <w:rPr>
          <w:rFonts w:eastAsia="Arial Unicode MS"/>
          <w:i/>
          <w:sz w:val="30"/>
          <w:szCs w:val="30"/>
        </w:rPr>
        <w:t xml:space="preserve">in terms of the rules that if there are improvements </w:t>
      </w:r>
      <w:r w:rsidR="003B590E">
        <w:rPr>
          <w:rFonts w:eastAsia="Arial Unicode MS"/>
          <w:i/>
          <w:sz w:val="30"/>
          <w:szCs w:val="30"/>
        </w:rPr>
        <w:t xml:space="preserve">on the property, then there must be a description of the improvements in the notice of sale.  This is a requirement of rule 46 [8] [b] of the rules of the above Honourable Court.  The improvements on the property include a dwelling house which is three bedrooms, kitchen, study room, 1 bathroom, toilet and a shower only, chicken shed and a cattle kraal.  A copy of the notice of sale is annexed hereto to </w:t>
      </w:r>
      <w:proofErr w:type="gramStart"/>
      <w:r w:rsidR="003B590E">
        <w:rPr>
          <w:rFonts w:eastAsia="Arial Unicode MS"/>
          <w:i/>
          <w:sz w:val="30"/>
          <w:szCs w:val="30"/>
        </w:rPr>
        <w:t>marked</w:t>
      </w:r>
      <w:proofErr w:type="gramEnd"/>
      <w:r w:rsidR="003B590E">
        <w:rPr>
          <w:rFonts w:eastAsia="Arial Unicode MS"/>
          <w:i/>
          <w:sz w:val="30"/>
          <w:szCs w:val="30"/>
        </w:rPr>
        <w:t xml:space="preserve"> </w:t>
      </w:r>
      <w:r w:rsidR="003B590E">
        <w:rPr>
          <w:rFonts w:eastAsia="Arial Unicode MS"/>
          <w:b/>
          <w:i/>
          <w:sz w:val="30"/>
          <w:szCs w:val="30"/>
        </w:rPr>
        <w:t>“STN10”</w:t>
      </w:r>
      <w:r w:rsidR="003B590E" w:rsidRPr="00CF2CCB">
        <w:rPr>
          <w:rFonts w:eastAsia="Arial Unicode MS"/>
          <w:i/>
          <w:sz w:val="30"/>
          <w:szCs w:val="30"/>
        </w:rPr>
        <w:t>.</w:t>
      </w:r>
      <w:r w:rsidR="003B590E">
        <w:rPr>
          <w:rFonts w:eastAsia="Arial Unicode MS"/>
          <w:i/>
          <w:sz w:val="30"/>
          <w:szCs w:val="30"/>
        </w:rPr>
        <w:t>”</w:t>
      </w:r>
    </w:p>
    <w:p w:rsidR="00B033C7" w:rsidRDefault="00B033C7" w:rsidP="00B033C7">
      <w:pPr>
        <w:pStyle w:val="ListParagraph"/>
        <w:tabs>
          <w:tab w:val="left" w:pos="1350"/>
          <w:tab w:val="left" w:pos="1440"/>
          <w:tab w:val="left" w:pos="1935"/>
        </w:tabs>
        <w:spacing w:line="480" w:lineRule="auto"/>
        <w:ind w:left="2160" w:hanging="810"/>
        <w:jc w:val="both"/>
        <w:rPr>
          <w:rFonts w:eastAsia="Arial Unicode MS"/>
          <w:sz w:val="30"/>
          <w:szCs w:val="30"/>
        </w:rPr>
      </w:pPr>
    </w:p>
    <w:p w:rsidR="003B590E" w:rsidRPr="00030C94" w:rsidRDefault="00B033C7" w:rsidP="00030C94">
      <w:pPr>
        <w:pStyle w:val="ListParagraph"/>
        <w:tabs>
          <w:tab w:val="left" w:pos="1350"/>
          <w:tab w:val="left" w:pos="1935"/>
        </w:tabs>
        <w:spacing w:line="480" w:lineRule="auto"/>
        <w:ind w:left="1350"/>
        <w:jc w:val="both"/>
        <w:rPr>
          <w:rFonts w:eastAsia="Arial Unicode MS"/>
          <w:i/>
          <w:sz w:val="30"/>
          <w:szCs w:val="30"/>
        </w:rPr>
      </w:pPr>
      <w:r>
        <w:rPr>
          <w:rFonts w:eastAsia="Arial Unicode MS"/>
          <w:sz w:val="30"/>
          <w:szCs w:val="30"/>
        </w:rPr>
        <w:t xml:space="preserve">In my view, this was once again a validly </w:t>
      </w:r>
      <w:proofErr w:type="spellStart"/>
      <w:r>
        <w:rPr>
          <w:rFonts w:eastAsia="Arial Unicode MS"/>
          <w:sz w:val="30"/>
          <w:szCs w:val="30"/>
        </w:rPr>
        <w:t>triable</w:t>
      </w:r>
      <w:proofErr w:type="spellEnd"/>
      <w:r>
        <w:rPr>
          <w:rFonts w:eastAsia="Arial Unicode MS"/>
          <w:sz w:val="30"/>
          <w:szCs w:val="30"/>
        </w:rPr>
        <w:t xml:space="preserve"> issue</w:t>
      </w:r>
      <w:r w:rsidR="00A16054">
        <w:rPr>
          <w:rFonts w:eastAsia="Arial Unicode MS"/>
          <w:sz w:val="30"/>
          <w:szCs w:val="30"/>
        </w:rPr>
        <w:t>.</w:t>
      </w:r>
      <w:r w:rsidR="00030C94">
        <w:rPr>
          <w:rFonts w:eastAsia="Arial Unicode MS"/>
          <w:sz w:val="30"/>
          <w:szCs w:val="30"/>
        </w:rPr>
        <w:t xml:space="preserve">  </w:t>
      </w:r>
      <w:r w:rsidR="00030C94">
        <w:rPr>
          <w:rFonts w:eastAsia="Arial Unicode MS"/>
          <w:i/>
          <w:sz w:val="30"/>
          <w:szCs w:val="30"/>
        </w:rPr>
        <w:t>Prima facie</w:t>
      </w:r>
      <w:r w:rsidR="00030C94" w:rsidRPr="00030C94">
        <w:rPr>
          <w:rFonts w:eastAsia="Arial Unicode MS"/>
          <w:sz w:val="30"/>
          <w:szCs w:val="30"/>
        </w:rPr>
        <w:t xml:space="preserve">, the description of the property in the notice </w:t>
      </w:r>
      <w:r w:rsidR="00030C94">
        <w:rPr>
          <w:rFonts w:eastAsia="Arial Unicode MS"/>
          <w:sz w:val="30"/>
          <w:szCs w:val="30"/>
        </w:rPr>
        <w:t xml:space="preserve">of </w:t>
      </w:r>
      <w:r w:rsidR="00030C94">
        <w:rPr>
          <w:rFonts w:eastAsia="Arial Unicode MS"/>
          <w:sz w:val="30"/>
          <w:szCs w:val="30"/>
        </w:rPr>
        <w:lastRenderedPageBreak/>
        <w:t xml:space="preserve">sale fell woefully short of the requirement </w:t>
      </w:r>
      <w:r w:rsidR="00E03179">
        <w:rPr>
          <w:rFonts w:eastAsia="Arial Unicode MS"/>
          <w:sz w:val="30"/>
          <w:szCs w:val="30"/>
        </w:rPr>
        <w:t>laid down in Rule 46 (8) (b) which in turn is obviously aimed at attracting an appropriate price for the property</w:t>
      </w:r>
      <w:r w:rsidR="00E75E7C">
        <w:rPr>
          <w:rFonts w:eastAsia="Arial Unicode MS"/>
          <w:sz w:val="30"/>
          <w:szCs w:val="30"/>
        </w:rPr>
        <w:t xml:space="preserve"> by not selling at less than the true value as happened here</w:t>
      </w:r>
      <w:r w:rsidR="00E03179">
        <w:rPr>
          <w:rFonts w:eastAsia="Arial Unicode MS"/>
          <w:sz w:val="30"/>
          <w:szCs w:val="30"/>
        </w:rPr>
        <w:t>.</w:t>
      </w:r>
    </w:p>
    <w:p w:rsidR="00A16054" w:rsidRDefault="00A16054" w:rsidP="00B033C7">
      <w:pPr>
        <w:pStyle w:val="ListParagraph"/>
        <w:tabs>
          <w:tab w:val="left" w:pos="1350"/>
          <w:tab w:val="left" w:pos="1440"/>
          <w:tab w:val="left" w:pos="1935"/>
        </w:tabs>
        <w:spacing w:line="480" w:lineRule="auto"/>
        <w:ind w:left="2160" w:hanging="810"/>
        <w:jc w:val="both"/>
        <w:rPr>
          <w:rFonts w:eastAsia="Arial Unicode MS"/>
          <w:sz w:val="30"/>
          <w:szCs w:val="30"/>
        </w:rPr>
      </w:pPr>
    </w:p>
    <w:p w:rsidR="00A16054" w:rsidRDefault="00A16054" w:rsidP="00A756F4">
      <w:pPr>
        <w:pStyle w:val="ListParagraph"/>
        <w:numPr>
          <w:ilvl w:val="0"/>
          <w:numId w:val="4"/>
        </w:numPr>
        <w:tabs>
          <w:tab w:val="left" w:pos="1350"/>
          <w:tab w:val="left" w:pos="1440"/>
          <w:tab w:val="left" w:pos="1935"/>
        </w:tabs>
        <w:spacing w:line="480" w:lineRule="auto"/>
        <w:ind w:left="1530" w:hanging="810"/>
        <w:jc w:val="both"/>
        <w:rPr>
          <w:rFonts w:eastAsia="Arial Unicode MS"/>
          <w:sz w:val="30"/>
          <w:szCs w:val="30"/>
        </w:rPr>
      </w:pPr>
      <w:r>
        <w:rPr>
          <w:rFonts w:eastAsia="Arial Unicode MS"/>
          <w:sz w:val="30"/>
          <w:szCs w:val="30"/>
        </w:rPr>
        <w:t xml:space="preserve"> The parties are on common ground that the property in question was purchased by one </w:t>
      </w:r>
      <w:proofErr w:type="spellStart"/>
      <w:r>
        <w:rPr>
          <w:rFonts w:eastAsia="Arial Unicode MS"/>
          <w:sz w:val="30"/>
          <w:szCs w:val="30"/>
        </w:rPr>
        <w:t>Zakhile</w:t>
      </w:r>
      <w:proofErr w:type="spellEnd"/>
      <w:r>
        <w:rPr>
          <w:rFonts w:eastAsia="Arial Unicode MS"/>
          <w:sz w:val="30"/>
          <w:szCs w:val="30"/>
        </w:rPr>
        <w:t xml:space="preserve"> </w:t>
      </w:r>
      <w:proofErr w:type="spellStart"/>
      <w:r>
        <w:rPr>
          <w:rFonts w:eastAsia="Arial Unicode MS"/>
          <w:sz w:val="30"/>
          <w:szCs w:val="30"/>
        </w:rPr>
        <w:t>Ndzimandze</w:t>
      </w:r>
      <w:proofErr w:type="spellEnd"/>
      <w:r w:rsidR="00CF2CCB">
        <w:rPr>
          <w:rFonts w:eastAsia="Arial Unicode MS"/>
          <w:sz w:val="30"/>
          <w:szCs w:val="30"/>
        </w:rPr>
        <w:t>,</w:t>
      </w:r>
      <w:r>
        <w:rPr>
          <w:rFonts w:eastAsia="Arial Unicode MS"/>
          <w:sz w:val="30"/>
          <w:szCs w:val="30"/>
        </w:rPr>
        <w:t xml:space="preserve"> a Deputy Sheriff “purporting” to act on behalf of the plaintiff.  </w:t>
      </w:r>
      <w:r w:rsidR="00DB088A">
        <w:rPr>
          <w:rFonts w:eastAsia="Arial Unicode MS"/>
          <w:sz w:val="30"/>
          <w:szCs w:val="30"/>
        </w:rPr>
        <w:t>There can be no doubt that this is very unusual</w:t>
      </w:r>
      <w:r w:rsidR="001F2144">
        <w:rPr>
          <w:rFonts w:eastAsia="Arial Unicode MS"/>
          <w:sz w:val="30"/>
          <w:szCs w:val="30"/>
        </w:rPr>
        <w:t xml:space="preserve"> on its own</w:t>
      </w:r>
      <w:r w:rsidR="00DB088A">
        <w:rPr>
          <w:rFonts w:eastAsia="Arial Unicode MS"/>
          <w:sz w:val="30"/>
          <w:szCs w:val="30"/>
        </w:rPr>
        <w:t>.  I consider that at th</w:t>
      </w:r>
      <w:r w:rsidR="00CF2CCB">
        <w:rPr>
          <w:rFonts w:eastAsia="Arial Unicode MS"/>
          <w:sz w:val="30"/>
          <w:szCs w:val="30"/>
        </w:rPr>
        <w:t>e</w:t>
      </w:r>
      <w:r w:rsidR="00DB088A">
        <w:rPr>
          <w:rFonts w:eastAsia="Arial Unicode MS"/>
          <w:sz w:val="30"/>
          <w:szCs w:val="30"/>
        </w:rPr>
        <w:t xml:space="preserve"> very least</w:t>
      </w:r>
      <w:r w:rsidR="00CF2CCB">
        <w:rPr>
          <w:rFonts w:eastAsia="Arial Unicode MS"/>
          <w:sz w:val="30"/>
          <w:szCs w:val="30"/>
        </w:rPr>
        <w:t>,</w:t>
      </w:r>
      <w:r w:rsidR="00DB088A">
        <w:rPr>
          <w:rFonts w:eastAsia="Arial Unicode MS"/>
          <w:sz w:val="30"/>
          <w:szCs w:val="30"/>
        </w:rPr>
        <w:t xml:space="preserve"> it is enough to raise a red flag</w:t>
      </w:r>
      <w:r w:rsidR="00CF2CCB">
        <w:rPr>
          <w:rFonts w:eastAsia="Arial Unicode MS"/>
          <w:sz w:val="30"/>
          <w:szCs w:val="30"/>
        </w:rPr>
        <w:t xml:space="preserve"> as a warning sign for something which might </w:t>
      </w:r>
      <w:proofErr w:type="spellStart"/>
      <w:r w:rsidR="00CF2CCB">
        <w:rPr>
          <w:rFonts w:eastAsia="Arial Unicode MS"/>
          <w:sz w:val="30"/>
          <w:szCs w:val="30"/>
        </w:rPr>
        <w:t>propably</w:t>
      </w:r>
      <w:proofErr w:type="spellEnd"/>
      <w:r w:rsidR="00CF2CCB">
        <w:rPr>
          <w:rFonts w:eastAsia="Arial Unicode MS"/>
          <w:sz w:val="30"/>
          <w:szCs w:val="30"/>
        </w:rPr>
        <w:t xml:space="preserve"> be untoward</w:t>
      </w:r>
      <w:r w:rsidR="00DB088A">
        <w:rPr>
          <w:rFonts w:eastAsia="Arial Unicode MS"/>
          <w:sz w:val="30"/>
          <w:szCs w:val="30"/>
        </w:rPr>
        <w:t>.  As such it is a triable issue in the circumstances.</w:t>
      </w:r>
    </w:p>
    <w:p w:rsidR="00945D2E" w:rsidRPr="00945D2E" w:rsidRDefault="00945D2E" w:rsidP="00945D2E">
      <w:pPr>
        <w:tabs>
          <w:tab w:val="left" w:pos="1350"/>
          <w:tab w:val="left" w:pos="1440"/>
          <w:tab w:val="left" w:pos="2160"/>
        </w:tabs>
        <w:spacing w:line="480" w:lineRule="auto"/>
        <w:jc w:val="both"/>
        <w:rPr>
          <w:rFonts w:eastAsia="Arial Unicode MS"/>
          <w:sz w:val="30"/>
          <w:szCs w:val="30"/>
        </w:rPr>
      </w:pPr>
    </w:p>
    <w:p w:rsidR="00BA7248" w:rsidRDefault="00DB088A" w:rsidP="00A756F4">
      <w:pPr>
        <w:tabs>
          <w:tab w:val="left" w:pos="720"/>
          <w:tab w:val="left" w:pos="1440"/>
          <w:tab w:val="left" w:pos="2160"/>
        </w:tabs>
        <w:spacing w:line="480" w:lineRule="auto"/>
        <w:ind w:left="720" w:hanging="720"/>
        <w:jc w:val="both"/>
        <w:rPr>
          <w:rFonts w:eastAsia="Arial Unicode MS"/>
          <w:sz w:val="30"/>
          <w:szCs w:val="30"/>
        </w:rPr>
      </w:pPr>
      <w:r>
        <w:rPr>
          <w:rFonts w:eastAsia="Arial Unicode MS"/>
          <w:sz w:val="30"/>
          <w:szCs w:val="30"/>
        </w:rPr>
        <w:t>[1</w:t>
      </w:r>
      <w:r w:rsidR="004F4C65">
        <w:rPr>
          <w:rFonts w:eastAsia="Arial Unicode MS"/>
          <w:sz w:val="30"/>
          <w:szCs w:val="30"/>
        </w:rPr>
        <w:t>4</w:t>
      </w:r>
      <w:r>
        <w:rPr>
          <w:rFonts w:eastAsia="Arial Unicode MS"/>
          <w:sz w:val="30"/>
          <w:szCs w:val="30"/>
        </w:rPr>
        <w:t>]</w:t>
      </w:r>
      <w:r>
        <w:rPr>
          <w:rFonts w:eastAsia="Arial Unicode MS"/>
          <w:sz w:val="30"/>
          <w:szCs w:val="30"/>
        </w:rPr>
        <w:tab/>
        <w:t>I should stress that it is stri</w:t>
      </w:r>
      <w:r w:rsidR="00A756F4">
        <w:rPr>
          <w:rFonts w:eastAsia="Arial Unicode MS"/>
          <w:sz w:val="30"/>
          <w:szCs w:val="30"/>
        </w:rPr>
        <w:t xml:space="preserve">ctly not necessary to express a </w:t>
      </w:r>
      <w:r>
        <w:rPr>
          <w:rFonts w:eastAsia="Arial Unicode MS"/>
          <w:sz w:val="30"/>
          <w:szCs w:val="30"/>
        </w:rPr>
        <w:t xml:space="preserve">concluded view on the soundness or otherwise of the defendant’s defences at this stage.  It is sufficient to say that, in my view, they do raise triable issues as contemplated by authorities.  In my view, the issues raised in this matter are such that it cannot by </w:t>
      </w:r>
      <w:r>
        <w:rPr>
          <w:rFonts w:eastAsia="Arial Unicode MS"/>
          <w:sz w:val="30"/>
          <w:szCs w:val="30"/>
        </w:rPr>
        <w:lastRenderedPageBreak/>
        <w:t>any stretch of the imagination be said that this is the clearest case where the</w:t>
      </w:r>
      <w:r w:rsidR="00BA7248">
        <w:rPr>
          <w:rFonts w:eastAsia="Arial Unicode MS"/>
          <w:sz w:val="30"/>
          <w:szCs w:val="30"/>
        </w:rPr>
        <w:t xml:space="preserve"> defendant has no </w:t>
      </w:r>
      <w:r w:rsidR="00BA7248">
        <w:rPr>
          <w:rFonts w:eastAsia="Arial Unicode MS"/>
          <w:i/>
          <w:sz w:val="30"/>
          <w:szCs w:val="30"/>
        </w:rPr>
        <w:t>bona defence</w:t>
      </w:r>
      <w:r w:rsidR="00BA7248">
        <w:rPr>
          <w:rFonts w:eastAsia="Arial Unicode MS"/>
          <w:sz w:val="30"/>
          <w:szCs w:val="30"/>
        </w:rPr>
        <w:t xml:space="preserve"> as laid down in such cases as </w:t>
      </w:r>
      <w:r w:rsidR="00BA7248">
        <w:rPr>
          <w:rFonts w:eastAsia="Arial Unicode MS"/>
          <w:b/>
          <w:sz w:val="30"/>
          <w:szCs w:val="30"/>
          <w:u w:val="single"/>
        </w:rPr>
        <w:t xml:space="preserve">Zanele Zwane, </w:t>
      </w:r>
      <w:r w:rsidR="00BA7248" w:rsidRPr="00BA7248">
        <w:rPr>
          <w:rFonts w:eastAsia="Arial Unicode MS"/>
          <w:b/>
          <w:i/>
          <w:sz w:val="30"/>
          <w:szCs w:val="30"/>
          <w:u w:val="single"/>
        </w:rPr>
        <w:t>supra</w:t>
      </w:r>
      <w:r w:rsidR="00BA7248">
        <w:rPr>
          <w:rFonts w:eastAsia="Arial Unicode MS"/>
          <w:sz w:val="30"/>
          <w:szCs w:val="30"/>
        </w:rPr>
        <w:t xml:space="preserve">.  In coming to this conclusion, I have not lost sight of a further fundamental principle as laid down in </w:t>
      </w:r>
      <w:r w:rsidR="00BA7248" w:rsidRPr="00BA7248">
        <w:rPr>
          <w:rFonts w:eastAsia="Arial Unicode MS"/>
          <w:b/>
          <w:sz w:val="30"/>
          <w:szCs w:val="30"/>
          <w:u w:val="single"/>
        </w:rPr>
        <w:t>Pu S</w:t>
      </w:r>
      <w:r w:rsidR="00BA7248">
        <w:rPr>
          <w:rFonts w:eastAsia="Arial Unicode MS"/>
          <w:b/>
          <w:sz w:val="30"/>
          <w:szCs w:val="30"/>
          <w:u w:val="single"/>
        </w:rPr>
        <w:t>etto (</w:t>
      </w:r>
      <w:r w:rsidR="00BA7248" w:rsidRPr="00BA7248">
        <w:rPr>
          <w:rFonts w:eastAsia="Arial Unicode MS"/>
          <w:b/>
          <w:sz w:val="30"/>
          <w:szCs w:val="30"/>
          <w:u w:val="single"/>
        </w:rPr>
        <w:t>Sunny Side 11 (Pty) and</w:t>
      </w:r>
      <w:r w:rsidR="00BA7248">
        <w:rPr>
          <w:rFonts w:eastAsia="Arial Unicode MS"/>
          <w:b/>
          <w:sz w:val="30"/>
          <w:szCs w:val="30"/>
          <w:u w:val="single"/>
        </w:rPr>
        <w:t xml:space="preserve"> </w:t>
      </w:r>
      <w:proofErr w:type="gramStart"/>
      <w:r w:rsidR="00BA7248">
        <w:rPr>
          <w:rFonts w:eastAsia="Arial Unicode MS"/>
          <w:b/>
          <w:sz w:val="30"/>
          <w:szCs w:val="30"/>
          <w:u w:val="single"/>
        </w:rPr>
        <w:t>Others</w:t>
      </w:r>
      <w:proofErr w:type="gramEnd"/>
      <w:r w:rsidR="00BA7248">
        <w:rPr>
          <w:rFonts w:eastAsia="Arial Unicode MS"/>
          <w:b/>
          <w:sz w:val="30"/>
          <w:szCs w:val="30"/>
          <w:u w:val="single"/>
        </w:rPr>
        <w:t xml:space="preserve"> v Financial Services Company of Botswana Ltd [1994] BLR 274 (CA)</w:t>
      </w:r>
      <w:r w:rsidR="00BA7248">
        <w:rPr>
          <w:rFonts w:eastAsia="Arial Unicode MS"/>
          <w:sz w:val="30"/>
          <w:szCs w:val="30"/>
        </w:rPr>
        <w:t xml:space="preserve"> at 287</w:t>
      </w:r>
      <w:r w:rsidR="0032170E">
        <w:rPr>
          <w:rFonts w:eastAsia="Arial Unicode MS"/>
          <w:sz w:val="30"/>
          <w:szCs w:val="30"/>
        </w:rPr>
        <w:t>,</w:t>
      </w:r>
      <w:r w:rsidR="00BA7248">
        <w:rPr>
          <w:rFonts w:eastAsia="Arial Unicode MS"/>
          <w:sz w:val="30"/>
          <w:szCs w:val="30"/>
        </w:rPr>
        <w:t xml:space="preserve"> namely</w:t>
      </w:r>
      <w:r w:rsidR="0032170E">
        <w:rPr>
          <w:rFonts w:eastAsia="Arial Unicode MS"/>
          <w:sz w:val="30"/>
          <w:szCs w:val="30"/>
        </w:rPr>
        <w:t>,</w:t>
      </w:r>
      <w:r w:rsidR="00BA7248">
        <w:rPr>
          <w:rFonts w:eastAsia="Arial Unicode MS"/>
          <w:sz w:val="30"/>
          <w:szCs w:val="30"/>
        </w:rPr>
        <w:t xml:space="preserve"> that:-</w:t>
      </w:r>
    </w:p>
    <w:p w:rsidR="00BA7248" w:rsidRDefault="00BA7248" w:rsidP="00DB088A">
      <w:pPr>
        <w:tabs>
          <w:tab w:val="left" w:pos="810"/>
          <w:tab w:val="left" w:pos="1440"/>
          <w:tab w:val="left" w:pos="2160"/>
        </w:tabs>
        <w:spacing w:line="480" w:lineRule="auto"/>
        <w:jc w:val="both"/>
        <w:rPr>
          <w:rFonts w:eastAsia="Arial Unicode MS"/>
          <w:sz w:val="30"/>
          <w:szCs w:val="30"/>
        </w:rPr>
      </w:pPr>
    </w:p>
    <w:p w:rsidR="00390222" w:rsidRDefault="00BA7248" w:rsidP="003564D3">
      <w:pPr>
        <w:tabs>
          <w:tab w:val="left" w:pos="810"/>
          <w:tab w:val="left" w:pos="1440"/>
          <w:tab w:val="left" w:pos="2160"/>
        </w:tabs>
        <w:spacing w:line="480" w:lineRule="auto"/>
        <w:ind w:left="720"/>
        <w:jc w:val="both"/>
        <w:rPr>
          <w:rFonts w:eastAsia="Arial Unicode MS"/>
          <w:i/>
          <w:sz w:val="30"/>
          <w:szCs w:val="30"/>
        </w:rPr>
      </w:pPr>
      <w:r>
        <w:rPr>
          <w:rFonts w:eastAsia="Arial Unicode MS"/>
          <w:sz w:val="30"/>
          <w:szCs w:val="30"/>
        </w:rPr>
        <w:tab/>
      </w:r>
      <w:r>
        <w:rPr>
          <w:rFonts w:eastAsia="Arial Unicode MS"/>
          <w:i/>
          <w:sz w:val="30"/>
          <w:szCs w:val="30"/>
        </w:rPr>
        <w:t xml:space="preserve">“The Court </w:t>
      </w:r>
      <w:r w:rsidR="003564D3">
        <w:rPr>
          <w:rFonts w:eastAsia="Arial Unicode MS"/>
          <w:i/>
          <w:sz w:val="30"/>
          <w:szCs w:val="30"/>
        </w:rPr>
        <w:t xml:space="preserve">should, in my view, not be astute </w:t>
      </w:r>
      <w:r w:rsidR="0032170E">
        <w:rPr>
          <w:rFonts w:eastAsia="Arial Unicode MS"/>
          <w:i/>
          <w:sz w:val="30"/>
          <w:szCs w:val="30"/>
        </w:rPr>
        <w:t xml:space="preserve">to extend </w:t>
      </w:r>
      <w:r w:rsidR="003564D3">
        <w:rPr>
          <w:rFonts w:eastAsia="Arial Unicode MS"/>
          <w:i/>
          <w:sz w:val="30"/>
          <w:szCs w:val="30"/>
        </w:rPr>
        <w:t xml:space="preserve">liberality to defendants in summary judgment matters who raise bogus </w:t>
      </w:r>
      <w:proofErr w:type="spellStart"/>
      <w:r w:rsidR="003564D3">
        <w:rPr>
          <w:rFonts w:eastAsia="Arial Unicode MS"/>
          <w:i/>
          <w:sz w:val="30"/>
          <w:szCs w:val="30"/>
        </w:rPr>
        <w:t>defences</w:t>
      </w:r>
      <w:proofErr w:type="spellEnd"/>
      <w:r w:rsidR="003564D3">
        <w:rPr>
          <w:rFonts w:eastAsia="Arial Unicode MS"/>
          <w:i/>
          <w:sz w:val="30"/>
          <w:szCs w:val="30"/>
        </w:rPr>
        <w:t xml:space="preserve"> in order to evade their obligations and to keep plaintiffs with valid claims out of their money.  A refusal to exercise the </w:t>
      </w:r>
      <w:r w:rsidR="00DE7F5E">
        <w:rPr>
          <w:rFonts w:eastAsia="Arial Unicode MS"/>
          <w:i/>
          <w:sz w:val="30"/>
          <w:szCs w:val="30"/>
        </w:rPr>
        <w:t>[</w:t>
      </w:r>
      <w:r w:rsidR="003564D3">
        <w:rPr>
          <w:rFonts w:eastAsia="Arial Unicode MS"/>
          <w:i/>
          <w:sz w:val="30"/>
          <w:szCs w:val="30"/>
        </w:rPr>
        <w:t>court</w:t>
      </w:r>
      <w:r w:rsidR="00C96C8F">
        <w:rPr>
          <w:rFonts w:eastAsia="Arial Unicode MS"/>
          <w:i/>
          <w:sz w:val="30"/>
          <w:szCs w:val="30"/>
        </w:rPr>
        <w:t>’</w:t>
      </w:r>
      <w:r w:rsidR="003564D3">
        <w:rPr>
          <w:rFonts w:eastAsia="Arial Unicode MS"/>
          <w:i/>
          <w:sz w:val="30"/>
          <w:szCs w:val="30"/>
        </w:rPr>
        <w:t>s</w:t>
      </w:r>
      <w:r w:rsidR="00DE7F5E">
        <w:rPr>
          <w:rFonts w:eastAsia="Arial Unicode MS"/>
          <w:i/>
          <w:sz w:val="30"/>
          <w:szCs w:val="30"/>
        </w:rPr>
        <w:t>]</w:t>
      </w:r>
      <w:r w:rsidR="003564D3">
        <w:rPr>
          <w:rFonts w:eastAsia="Arial Unicode MS"/>
          <w:i/>
          <w:sz w:val="30"/>
          <w:szCs w:val="30"/>
        </w:rPr>
        <w:t xml:space="preserve"> discretion in the appellants </w:t>
      </w:r>
      <w:proofErr w:type="spellStart"/>
      <w:r w:rsidR="003564D3">
        <w:rPr>
          <w:rFonts w:eastAsia="Arial Unicode MS"/>
          <w:i/>
          <w:sz w:val="30"/>
          <w:szCs w:val="30"/>
        </w:rPr>
        <w:t>favour</w:t>
      </w:r>
      <w:proofErr w:type="spellEnd"/>
      <w:r w:rsidR="003564D3">
        <w:rPr>
          <w:rFonts w:eastAsia="Arial Unicode MS"/>
          <w:i/>
          <w:sz w:val="30"/>
          <w:szCs w:val="30"/>
        </w:rPr>
        <w:t xml:space="preserve">, and particularly in Du </w:t>
      </w:r>
      <w:proofErr w:type="spellStart"/>
      <w:r w:rsidR="003564D3">
        <w:rPr>
          <w:rFonts w:eastAsia="Arial Unicode MS"/>
          <w:i/>
          <w:sz w:val="30"/>
          <w:szCs w:val="30"/>
        </w:rPr>
        <w:t>Plessiss</w:t>
      </w:r>
      <w:proofErr w:type="spellEnd"/>
      <w:r w:rsidR="003564D3">
        <w:rPr>
          <w:rFonts w:eastAsia="Arial Unicode MS"/>
          <w:i/>
          <w:sz w:val="30"/>
          <w:szCs w:val="30"/>
        </w:rPr>
        <w:t xml:space="preserve"> </w:t>
      </w:r>
      <w:proofErr w:type="spellStart"/>
      <w:r w:rsidR="003564D3">
        <w:rPr>
          <w:rFonts w:eastAsia="Arial Unicode MS"/>
          <w:i/>
          <w:sz w:val="30"/>
          <w:szCs w:val="30"/>
        </w:rPr>
        <w:t>favour</w:t>
      </w:r>
      <w:proofErr w:type="spellEnd"/>
      <w:r w:rsidR="003564D3">
        <w:rPr>
          <w:rFonts w:eastAsia="Arial Unicode MS"/>
          <w:i/>
          <w:sz w:val="30"/>
          <w:szCs w:val="30"/>
        </w:rPr>
        <w:t xml:space="preserve">, would result in no injustice to them or </w:t>
      </w:r>
      <w:r>
        <w:rPr>
          <w:rFonts w:eastAsia="Arial Unicode MS"/>
          <w:i/>
          <w:sz w:val="30"/>
          <w:szCs w:val="30"/>
        </w:rPr>
        <w:t>him.”</w:t>
      </w:r>
    </w:p>
    <w:p w:rsidR="00945D2E" w:rsidRDefault="00945D2E" w:rsidP="003564D3">
      <w:pPr>
        <w:tabs>
          <w:tab w:val="left" w:pos="810"/>
          <w:tab w:val="left" w:pos="1440"/>
          <w:tab w:val="left" w:pos="2160"/>
        </w:tabs>
        <w:spacing w:line="480" w:lineRule="auto"/>
        <w:ind w:left="720"/>
        <w:jc w:val="both"/>
        <w:rPr>
          <w:rFonts w:eastAsia="Arial Unicode MS"/>
          <w:i/>
          <w:sz w:val="30"/>
          <w:szCs w:val="30"/>
        </w:rPr>
      </w:pPr>
    </w:p>
    <w:p w:rsidR="00447A15" w:rsidRPr="0033213B" w:rsidRDefault="007A1646" w:rsidP="0033213B">
      <w:pPr>
        <w:tabs>
          <w:tab w:val="left" w:pos="810"/>
          <w:tab w:val="left" w:pos="1440"/>
          <w:tab w:val="left" w:pos="2160"/>
        </w:tabs>
        <w:spacing w:line="480" w:lineRule="auto"/>
        <w:ind w:left="720"/>
        <w:jc w:val="both"/>
        <w:rPr>
          <w:rFonts w:eastAsia="Arial Unicode MS"/>
          <w:sz w:val="30"/>
          <w:szCs w:val="30"/>
        </w:rPr>
      </w:pPr>
      <w:r>
        <w:rPr>
          <w:rFonts w:eastAsia="Arial Unicode MS"/>
          <w:sz w:val="30"/>
          <w:szCs w:val="30"/>
        </w:rPr>
        <w:t xml:space="preserve">This </w:t>
      </w:r>
      <w:r w:rsidR="00BA7248">
        <w:rPr>
          <w:rFonts w:eastAsia="Arial Unicode MS"/>
          <w:sz w:val="30"/>
          <w:szCs w:val="30"/>
        </w:rPr>
        <w:t xml:space="preserve">is a principle which I </w:t>
      </w:r>
      <w:r w:rsidR="00945D2E">
        <w:rPr>
          <w:rFonts w:eastAsia="Arial Unicode MS"/>
          <w:sz w:val="30"/>
          <w:szCs w:val="30"/>
        </w:rPr>
        <w:t xml:space="preserve">myself </w:t>
      </w:r>
      <w:r w:rsidR="00BA7248">
        <w:rPr>
          <w:rFonts w:eastAsia="Arial Unicode MS"/>
          <w:sz w:val="30"/>
          <w:szCs w:val="30"/>
        </w:rPr>
        <w:t xml:space="preserve">had occasion to happily adopt in the Botswana Court of Appeal case of </w:t>
      </w:r>
      <w:r w:rsidR="00BA7248" w:rsidRPr="00BA7248">
        <w:rPr>
          <w:rFonts w:eastAsia="Arial Unicode MS"/>
          <w:b/>
          <w:sz w:val="30"/>
          <w:szCs w:val="30"/>
          <w:u w:val="single"/>
        </w:rPr>
        <w:t>Information Systems Zone (Pty) Limited And Others V First National Bank Of Botswana Limited [2008] 1 BLR 221 (CA)</w:t>
      </w:r>
      <w:r w:rsidR="00BA7248">
        <w:rPr>
          <w:rFonts w:eastAsia="Arial Unicode MS"/>
          <w:sz w:val="30"/>
          <w:szCs w:val="30"/>
        </w:rPr>
        <w:t xml:space="preserve">.  Similarly, I am </w:t>
      </w:r>
      <w:r w:rsidR="00BA7248">
        <w:rPr>
          <w:rFonts w:eastAsia="Arial Unicode MS"/>
          <w:sz w:val="30"/>
          <w:szCs w:val="30"/>
        </w:rPr>
        <w:lastRenderedPageBreak/>
        <w:t>happy to adopt it in this jurisdiction.  Each case must, however, depend on its own peculiar circumstances.</w:t>
      </w:r>
    </w:p>
    <w:p w:rsidR="0033213B" w:rsidRDefault="0033213B" w:rsidP="0033213B">
      <w:pPr>
        <w:spacing w:line="360" w:lineRule="auto"/>
        <w:jc w:val="both"/>
        <w:rPr>
          <w:rFonts w:eastAsia="Arial Unicode MS"/>
          <w:b/>
          <w:sz w:val="30"/>
          <w:szCs w:val="30"/>
        </w:rPr>
      </w:pPr>
    </w:p>
    <w:p w:rsidR="004F4C65" w:rsidRDefault="001F2144" w:rsidP="00054E07">
      <w:pPr>
        <w:spacing w:line="480" w:lineRule="auto"/>
        <w:ind w:left="720" w:hanging="720"/>
        <w:jc w:val="both"/>
        <w:rPr>
          <w:rFonts w:eastAsia="Arial Unicode MS"/>
          <w:sz w:val="30"/>
          <w:szCs w:val="30"/>
        </w:rPr>
      </w:pPr>
      <w:r w:rsidRPr="001F2144">
        <w:rPr>
          <w:rFonts w:eastAsia="Arial Unicode MS"/>
          <w:sz w:val="30"/>
          <w:szCs w:val="30"/>
        </w:rPr>
        <w:t>[1</w:t>
      </w:r>
      <w:r w:rsidR="004F4C65">
        <w:rPr>
          <w:rFonts w:eastAsia="Arial Unicode MS"/>
          <w:sz w:val="30"/>
          <w:szCs w:val="30"/>
        </w:rPr>
        <w:t>5</w:t>
      </w:r>
      <w:r w:rsidRPr="001F2144">
        <w:rPr>
          <w:rFonts w:eastAsia="Arial Unicode MS"/>
          <w:sz w:val="30"/>
          <w:szCs w:val="30"/>
        </w:rPr>
        <w:t>]</w:t>
      </w:r>
      <w:r>
        <w:rPr>
          <w:rFonts w:eastAsia="Arial Unicode MS"/>
          <w:sz w:val="30"/>
          <w:szCs w:val="30"/>
        </w:rPr>
        <w:tab/>
        <w:t>Finally</w:t>
      </w:r>
      <w:r w:rsidR="00054E07">
        <w:rPr>
          <w:rFonts w:eastAsia="Arial Unicode MS"/>
          <w:sz w:val="30"/>
          <w:szCs w:val="30"/>
        </w:rPr>
        <w:t>, I</w:t>
      </w:r>
      <w:r w:rsidR="00ED47A7">
        <w:rPr>
          <w:rFonts w:eastAsia="Arial Unicode MS"/>
          <w:sz w:val="30"/>
          <w:szCs w:val="30"/>
        </w:rPr>
        <w:t xml:space="preserve"> should mention that </w:t>
      </w:r>
      <w:proofErr w:type="spellStart"/>
      <w:r w:rsidR="00ED47A7">
        <w:rPr>
          <w:rFonts w:eastAsia="Arial Unicode MS"/>
          <w:sz w:val="30"/>
          <w:szCs w:val="30"/>
          <w:u w:val="single"/>
        </w:rPr>
        <w:t>Mr</w:t>
      </w:r>
      <w:proofErr w:type="spellEnd"/>
      <w:r w:rsidR="00ED47A7">
        <w:rPr>
          <w:rFonts w:eastAsia="Arial Unicode MS"/>
          <w:sz w:val="30"/>
          <w:szCs w:val="30"/>
          <w:u w:val="single"/>
        </w:rPr>
        <w:t xml:space="preserve"> L.R. </w:t>
      </w:r>
      <w:r w:rsidR="00ED47A7" w:rsidRPr="00ED47A7">
        <w:rPr>
          <w:rFonts w:eastAsia="Arial Unicode MS"/>
          <w:sz w:val="30"/>
          <w:szCs w:val="30"/>
        </w:rPr>
        <w:t>Mamba</w:t>
      </w:r>
      <w:r w:rsidR="00ED47A7">
        <w:rPr>
          <w:rFonts w:eastAsia="Arial Unicode MS"/>
          <w:sz w:val="30"/>
          <w:szCs w:val="30"/>
        </w:rPr>
        <w:t xml:space="preserve"> for the applicant spent considerable time in his argument in this Court advancing the submission that, simply because the </w:t>
      </w:r>
      <w:r w:rsidR="0046581C">
        <w:rPr>
          <w:rFonts w:eastAsia="Arial Unicode MS"/>
          <w:sz w:val="30"/>
          <w:szCs w:val="30"/>
        </w:rPr>
        <w:t>a</w:t>
      </w:r>
      <w:r w:rsidR="00ED47A7">
        <w:rPr>
          <w:rFonts w:eastAsia="Arial Unicode MS"/>
          <w:sz w:val="30"/>
          <w:szCs w:val="30"/>
        </w:rPr>
        <w:t>pplicant</w:t>
      </w:r>
      <w:r w:rsidR="00054E07">
        <w:rPr>
          <w:rFonts w:eastAsia="Arial Unicode MS"/>
          <w:sz w:val="30"/>
          <w:szCs w:val="30"/>
        </w:rPr>
        <w:t xml:space="preserve"> was the registered owner of the property in terms of a deed of transfer following the </w:t>
      </w:r>
      <w:r w:rsidR="0046581C">
        <w:rPr>
          <w:rFonts w:eastAsia="Arial Unicode MS"/>
          <w:sz w:val="30"/>
          <w:szCs w:val="30"/>
        </w:rPr>
        <w:t>s</w:t>
      </w:r>
      <w:r w:rsidR="00054E07">
        <w:rPr>
          <w:rFonts w:eastAsia="Arial Unicode MS"/>
          <w:sz w:val="30"/>
          <w:szCs w:val="30"/>
        </w:rPr>
        <w:t xml:space="preserve">ale in question as stated above, then on that basis alone the applicant’s title is unassailable.  This submission is in my view completely untenable.  There is no magic power </w:t>
      </w:r>
      <w:r w:rsidR="0046581C">
        <w:rPr>
          <w:rFonts w:eastAsia="Arial Unicode MS"/>
          <w:sz w:val="30"/>
          <w:szCs w:val="30"/>
        </w:rPr>
        <w:t xml:space="preserve">contained in </w:t>
      </w:r>
      <w:r w:rsidR="00054E07">
        <w:rPr>
          <w:rFonts w:eastAsia="Arial Unicode MS"/>
          <w:sz w:val="30"/>
          <w:szCs w:val="30"/>
        </w:rPr>
        <w:t>a deed of transfer</w:t>
      </w:r>
      <w:r w:rsidR="004F4C65">
        <w:rPr>
          <w:rFonts w:eastAsia="Arial Unicode MS"/>
          <w:sz w:val="30"/>
          <w:szCs w:val="30"/>
        </w:rPr>
        <w:t xml:space="preserve">.  Like any document, it is open to challenge as </w:t>
      </w:r>
      <w:r w:rsidR="0046581C">
        <w:rPr>
          <w:rFonts w:eastAsia="Arial Unicode MS"/>
          <w:sz w:val="30"/>
          <w:szCs w:val="30"/>
        </w:rPr>
        <w:t xml:space="preserve">to </w:t>
      </w:r>
      <w:r w:rsidR="004F4C65">
        <w:rPr>
          <w:rFonts w:eastAsia="Arial Unicode MS"/>
          <w:sz w:val="30"/>
          <w:szCs w:val="30"/>
        </w:rPr>
        <w:t xml:space="preserve">its validity.  In </w:t>
      </w:r>
      <w:proofErr w:type="spellStart"/>
      <w:r w:rsidR="004F4C65">
        <w:rPr>
          <w:rFonts w:eastAsia="Arial Unicode MS"/>
          <w:i/>
          <w:sz w:val="30"/>
          <w:szCs w:val="30"/>
        </w:rPr>
        <w:t>casu</w:t>
      </w:r>
      <w:proofErr w:type="spellEnd"/>
      <w:r w:rsidR="0046581C">
        <w:rPr>
          <w:rFonts w:eastAsia="Arial Unicode MS"/>
          <w:i/>
          <w:sz w:val="30"/>
          <w:szCs w:val="30"/>
        </w:rPr>
        <w:t>,</w:t>
      </w:r>
      <w:r w:rsidR="004F4C65">
        <w:rPr>
          <w:rFonts w:eastAsia="Arial Unicode MS"/>
          <w:sz w:val="30"/>
          <w:szCs w:val="30"/>
        </w:rPr>
        <w:t xml:space="preserve"> it is specifically challenged on various grounds as set out above.  The </w:t>
      </w:r>
      <w:proofErr w:type="spellStart"/>
      <w:r w:rsidR="004F4C65">
        <w:rPr>
          <w:rFonts w:eastAsia="Arial Unicode MS"/>
          <w:sz w:val="30"/>
          <w:szCs w:val="30"/>
        </w:rPr>
        <w:t>defence</w:t>
      </w:r>
      <w:proofErr w:type="spellEnd"/>
      <w:r w:rsidR="004F4C65">
        <w:rPr>
          <w:rFonts w:eastAsia="Arial Unicode MS"/>
          <w:sz w:val="30"/>
          <w:szCs w:val="30"/>
        </w:rPr>
        <w:t xml:space="preserve"> raised is that it is in fact a </w:t>
      </w:r>
      <w:r w:rsidR="0046581C">
        <w:rPr>
          <w:rFonts w:eastAsia="Arial Unicode MS"/>
          <w:sz w:val="30"/>
          <w:szCs w:val="30"/>
        </w:rPr>
        <w:t>“</w:t>
      </w:r>
      <w:r w:rsidR="004F4C65">
        <w:rPr>
          <w:rFonts w:eastAsia="Arial Unicode MS"/>
          <w:sz w:val="30"/>
          <w:szCs w:val="30"/>
        </w:rPr>
        <w:t xml:space="preserve">nullity” due to the fact, </w:t>
      </w:r>
      <w:r w:rsidR="004F4C65">
        <w:rPr>
          <w:rFonts w:eastAsia="Arial Unicode MS"/>
          <w:i/>
          <w:sz w:val="30"/>
          <w:szCs w:val="30"/>
        </w:rPr>
        <w:t xml:space="preserve">inter alia, </w:t>
      </w:r>
      <w:r w:rsidR="004F4C65">
        <w:rPr>
          <w:rFonts w:eastAsia="Arial Unicode MS"/>
          <w:sz w:val="30"/>
          <w:szCs w:val="30"/>
        </w:rPr>
        <w:t>that the deceased’s property was sold contrary to the Administration of Estates Act.</w:t>
      </w:r>
    </w:p>
    <w:p w:rsidR="001F2144" w:rsidRDefault="001F2144" w:rsidP="0033213B">
      <w:pPr>
        <w:spacing w:line="360" w:lineRule="auto"/>
        <w:jc w:val="both"/>
        <w:rPr>
          <w:rFonts w:eastAsia="Arial Unicode MS"/>
          <w:b/>
          <w:sz w:val="30"/>
          <w:szCs w:val="30"/>
        </w:rPr>
      </w:pPr>
    </w:p>
    <w:p w:rsidR="00523ADC" w:rsidRDefault="00523ADC" w:rsidP="0033213B">
      <w:pPr>
        <w:spacing w:line="360" w:lineRule="auto"/>
        <w:jc w:val="both"/>
        <w:rPr>
          <w:rFonts w:eastAsia="Arial Unicode MS"/>
          <w:sz w:val="30"/>
          <w:szCs w:val="30"/>
        </w:rPr>
      </w:pPr>
      <w:r w:rsidRPr="00523ADC">
        <w:rPr>
          <w:rFonts w:eastAsia="Arial Unicode MS"/>
          <w:sz w:val="30"/>
          <w:szCs w:val="30"/>
        </w:rPr>
        <w:t>[1</w:t>
      </w:r>
      <w:r w:rsidR="004F4C65">
        <w:rPr>
          <w:rFonts w:eastAsia="Arial Unicode MS"/>
          <w:sz w:val="30"/>
          <w:szCs w:val="30"/>
        </w:rPr>
        <w:t>6</w:t>
      </w:r>
      <w:r w:rsidRPr="00523ADC">
        <w:rPr>
          <w:rFonts w:eastAsia="Arial Unicode MS"/>
          <w:sz w:val="30"/>
          <w:szCs w:val="30"/>
        </w:rPr>
        <w:t>]</w:t>
      </w:r>
      <w:r>
        <w:rPr>
          <w:rFonts w:eastAsia="Arial Unicode MS"/>
          <w:sz w:val="30"/>
          <w:szCs w:val="30"/>
        </w:rPr>
        <w:tab/>
        <w:t>In the result the following order is made:-</w:t>
      </w:r>
    </w:p>
    <w:p w:rsidR="00523ADC" w:rsidRDefault="00523ADC" w:rsidP="0033213B">
      <w:pPr>
        <w:spacing w:line="360" w:lineRule="auto"/>
        <w:jc w:val="both"/>
        <w:rPr>
          <w:rFonts w:eastAsia="Arial Unicode MS"/>
          <w:sz w:val="30"/>
          <w:szCs w:val="30"/>
        </w:rPr>
      </w:pPr>
    </w:p>
    <w:p w:rsidR="00523ADC" w:rsidRDefault="00523ADC" w:rsidP="00523ADC">
      <w:pPr>
        <w:pStyle w:val="ListParagraph"/>
        <w:numPr>
          <w:ilvl w:val="0"/>
          <w:numId w:val="5"/>
        </w:numPr>
        <w:spacing w:line="360" w:lineRule="auto"/>
        <w:ind w:left="1260" w:hanging="540"/>
        <w:jc w:val="both"/>
        <w:rPr>
          <w:rFonts w:eastAsia="Arial Unicode MS"/>
          <w:sz w:val="30"/>
          <w:szCs w:val="30"/>
        </w:rPr>
      </w:pPr>
      <w:r>
        <w:rPr>
          <w:rFonts w:eastAsia="Arial Unicode MS"/>
          <w:sz w:val="30"/>
          <w:szCs w:val="30"/>
        </w:rPr>
        <w:t xml:space="preserve">   The applicant’s application for leave to appeal is refused </w:t>
      </w:r>
    </w:p>
    <w:p w:rsidR="00523ADC" w:rsidRPr="0046581C" w:rsidRDefault="00523ADC" w:rsidP="0046581C">
      <w:pPr>
        <w:pStyle w:val="ListParagraph"/>
        <w:spacing w:line="360" w:lineRule="auto"/>
        <w:ind w:left="1260"/>
        <w:jc w:val="both"/>
        <w:rPr>
          <w:rFonts w:eastAsia="Arial Unicode MS"/>
          <w:sz w:val="30"/>
          <w:szCs w:val="30"/>
        </w:rPr>
      </w:pPr>
      <w:r>
        <w:rPr>
          <w:rFonts w:eastAsia="Arial Unicode MS"/>
          <w:sz w:val="30"/>
          <w:szCs w:val="30"/>
        </w:rPr>
        <w:t xml:space="preserve">   </w:t>
      </w:r>
      <w:proofErr w:type="gramStart"/>
      <w:r>
        <w:rPr>
          <w:rFonts w:eastAsia="Arial Unicode MS"/>
          <w:sz w:val="30"/>
          <w:szCs w:val="30"/>
        </w:rPr>
        <w:t>with</w:t>
      </w:r>
      <w:proofErr w:type="gramEnd"/>
      <w:r>
        <w:rPr>
          <w:rFonts w:eastAsia="Arial Unicode MS"/>
          <w:sz w:val="30"/>
          <w:szCs w:val="30"/>
        </w:rPr>
        <w:t xml:space="preserve"> costs.</w:t>
      </w:r>
    </w:p>
    <w:p w:rsidR="00523ADC" w:rsidRDefault="00523ADC" w:rsidP="009A3A65">
      <w:pPr>
        <w:pStyle w:val="ListParagraph"/>
        <w:numPr>
          <w:ilvl w:val="0"/>
          <w:numId w:val="5"/>
        </w:numPr>
        <w:spacing w:line="360" w:lineRule="auto"/>
        <w:ind w:left="1530" w:hanging="810"/>
        <w:jc w:val="both"/>
        <w:rPr>
          <w:rFonts w:eastAsia="Arial Unicode MS"/>
          <w:sz w:val="30"/>
          <w:szCs w:val="30"/>
        </w:rPr>
      </w:pPr>
      <w:r>
        <w:rPr>
          <w:rFonts w:eastAsia="Arial Unicode MS"/>
          <w:sz w:val="30"/>
          <w:szCs w:val="30"/>
        </w:rPr>
        <w:lastRenderedPageBreak/>
        <w:t>The defendant is given leave to file his p</w:t>
      </w:r>
      <w:r w:rsidR="0046581C">
        <w:rPr>
          <w:rFonts w:eastAsia="Arial Unicode MS"/>
          <w:sz w:val="30"/>
          <w:szCs w:val="30"/>
        </w:rPr>
        <w:t>l</w:t>
      </w:r>
      <w:r>
        <w:rPr>
          <w:rFonts w:eastAsia="Arial Unicode MS"/>
          <w:sz w:val="30"/>
          <w:szCs w:val="30"/>
        </w:rPr>
        <w:t xml:space="preserve">ea by not </w:t>
      </w:r>
      <w:r w:rsidR="008F1B1F">
        <w:rPr>
          <w:rFonts w:eastAsia="Arial Unicode MS"/>
          <w:sz w:val="30"/>
          <w:szCs w:val="30"/>
        </w:rPr>
        <w:t>later than</w:t>
      </w:r>
      <w:r>
        <w:rPr>
          <w:rFonts w:eastAsia="Arial Unicode MS"/>
          <w:sz w:val="30"/>
          <w:szCs w:val="30"/>
        </w:rPr>
        <w:t xml:space="preserve"> 14 December 2013.</w:t>
      </w:r>
    </w:p>
    <w:p w:rsidR="008F1B1F" w:rsidRPr="000F3697" w:rsidRDefault="00523ADC" w:rsidP="000F3697">
      <w:pPr>
        <w:pStyle w:val="ListParagraph"/>
        <w:spacing w:line="360" w:lineRule="auto"/>
        <w:ind w:left="1080" w:hanging="360"/>
        <w:jc w:val="both"/>
        <w:rPr>
          <w:rFonts w:eastAsia="Arial Unicode MS"/>
          <w:sz w:val="30"/>
          <w:szCs w:val="30"/>
        </w:rPr>
      </w:pPr>
      <w:r w:rsidRPr="00523ADC">
        <w:rPr>
          <w:rFonts w:eastAsia="Arial Unicode MS"/>
          <w:sz w:val="30"/>
          <w:szCs w:val="30"/>
        </w:rPr>
        <w:tab/>
      </w:r>
    </w:p>
    <w:p w:rsidR="004F4C65" w:rsidRDefault="004F4C65" w:rsidP="00945D2E">
      <w:pPr>
        <w:spacing w:line="360" w:lineRule="auto"/>
        <w:jc w:val="both"/>
        <w:rPr>
          <w:rFonts w:eastAsia="Arial Unicode MS"/>
          <w:b/>
          <w:sz w:val="30"/>
          <w:szCs w:val="30"/>
        </w:rPr>
      </w:pPr>
    </w:p>
    <w:p w:rsidR="004F4C65" w:rsidRDefault="004F4C65" w:rsidP="00945D2E">
      <w:pPr>
        <w:spacing w:line="360" w:lineRule="auto"/>
        <w:jc w:val="both"/>
        <w:rPr>
          <w:rFonts w:eastAsia="Arial Unicode MS"/>
          <w:b/>
          <w:sz w:val="30"/>
          <w:szCs w:val="30"/>
        </w:rPr>
      </w:pPr>
    </w:p>
    <w:p w:rsidR="00A8264C" w:rsidRDefault="00A8264C" w:rsidP="00A8264C">
      <w:pPr>
        <w:spacing w:line="360" w:lineRule="auto"/>
        <w:ind w:left="720" w:hanging="720"/>
        <w:jc w:val="both"/>
        <w:rPr>
          <w:rFonts w:eastAsia="Arial Unicode MS"/>
          <w:b/>
          <w:sz w:val="30"/>
          <w:szCs w:val="30"/>
        </w:rPr>
      </w:pPr>
      <w:r>
        <w:rPr>
          <w:rFonts w:eastAsia="Arial Unicode MS"/>
          <w:b/>
          <w:sz w:val="30"/>
          <w:szCs w:val="30"/>
        </w:rPr>
        <w:tab/>
      </w:r>
      <w:r w:rsidR="004F4C65">
        <w:rPr>
          <w:rFonts w:eastAsia="Arial Unicode MS"/>
          <w:b/>
          <w:sz w:val="30"/>
          <w:szCs w:val="30"/>
        </w:rPr>
        <w:tab/>
      </w:r>
      <w:r w:rsidR="004F4C65">
        <w:rPr>
          <w:rFonts w:eastAsia="Arial Unicode MS"/>
          <w:b/>
          <w:sz w:val="30"/>
          <w:szCs w:val="30"/>
        </w:rPr>
        <w:tab/>
      </w:r>
      <w:r w:rsidR="004F4C65">
        <w:rPr>
          <w:rFonts w:eastAsia="Arial Unicode MS"/>
          <w:b/>
          <w:sz w:val="30"/>
          <w:szCs w:val="30"/>
        </w:rPr>
        <w:tab/>
      </w:r>
      <w:r w:rsidR="004F4C65">
        <w:rPr>
          <w:rFonts w:eastAsia="Arial Unicode MS"/>
          <w:b/>
          <w:sz w:val="30"/>
          <w:szCs w:val="30"/>
        </w:rPr>
        <w:tab/>
      </w:r>
      <w:r w:rsidR="004F4C65">
        <w:rPr>
          <w:rFonts w:eastAsia="Arial Unicode MS"/>
          <w:b/>
          <w:sz w:val="30"/>
          <w:szCs w:val="30"/>
        </w:rPr>
        <w:tab/>
      </w:r>
      <w:r>
        <w:rPr>
          <w:rFonts w:eastAsia="Arial Unicode MS"/>
          <w:b/>
          <w:sz w:val="30"/>
          <w:szCs w:val="30"/>
        </w:rPr>
        <w:t>___________________________</w:t>
      </w:r>
    </w:p>
    <w:p w:rsidR="00A8264C" w:rsidRDefault="00A8264C" w:rsidP="00A8264C">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A8264C" w:rsidRPr="00C3028C" w:rsidRDefault="00A8264C" w:rsidP="00A8264C">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A8264C" w:rsidRPr="00775896" w:rsidRDefault="00A8264C" w:rsidP="00A8264C">
      <w:pPr>
        <w:spacing w:line="360" w:lineRule="auto"/>
        <w:ind w:left="720" w:hanging="720"/>
        <w:jc w:val="both"/>
        <w:rPr>
          <w:rFonts w:eastAsia="Arial Unicode MS"/>
          <w:b/>
          <w:sz w:val="30"/>
          <w:szCs w:val="30"/>
        </w:rPr>
      </w:pPr>
    </w:p>
    <w:p w:rsidR="00390222" w:rsidRDefault="00390222" w:rsidP="00390222">
      <w:pPr>
        <w:spacing w:line="360" w:lineRule="auto"/>
        <w:jc w:val="both"/>
        <w:rPr>
          <w:rFonts w:eastAsia="Arial Unicode MS"/>
          <w:b/>
          <w:sz w:val="30"/>
          <w:szCs w:val="30"/>
        </w:rPr>
      </w:pPr>
    </w:p>
    <w:p w:rsidR="004F4C65" w:rsidRDefault="004F4C65" w:rsidP="00390222">
      <w:pPr>
        <w:spacing w:line="360" w:lineRule="auto"/>
        <w:jc w:val="both"/>
        <w:rPr>
          <w:rFonts w:eastAsia="Arial Unicode MS"/>
          <w:b/>
          <w:sz w:val="30"/>
          <w:szCs w:val="30"/>
        </w:rPr>
      </w:pPr>
    </w:p>
    <w:p w:rsidR="00A8264C" w:rsidRPr="00775896" w:rsidRDefault="00A8264C" w:rsidP="00A8264C">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A8264C" w:rsidRDefault="00A8264C" w:rsidP="00A8264C">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7A3004">
        <w:rPr>
          <w:rFonts w:eastAsia="Arial Unicode MS"/>
          <w:b/>
          <w:sz w:val="30"/>
          <w:szCs w:val="30"/>
        </w:rPr>
        <w:t xml:space="preserve">S. </w:t>
      </w:r>
      <w:r>
        <w:rPr>
          <w:rFonts w:eastAsia="Arial Unicode MS"/>
          <w:b/>
          <w:sz w:val="30"/>
          <w:szCs w:val="30"/>
        </w:rPr>
        <w:t>A.</w:t>
      </w:r>
      <w:r w:rsidR="007A3004">
        <w:rPr>
          <w:rFonts w:eastAsia="Arial Unicode MS"/>
          <w:b/>
          <w:sz w:val="30"/>
          <w:szCs w:val="30"/>
        </w:rPr>
        <w:t xml:space="preserve"> </w:t>
      </w:r>
      <w:r>
        <w:rPr>
          <w:rFonts w:eastAsia="Arial Unicode MS"/>
          <w:b/>
          <w:sz w:val="30"/>
          <w:szCs w:val="30"/>
        </w:rPr>
        <w:t>M</w:t>
      </w:r>
      <w:r w:rsidR="007A3004">
        <w:rPr>
          <w:rFonts w:eastAsia="Arial Unicode MS"/>
          <w:b/>
          <w:sz w:val="30"/>
          <w:szCs w:val="30"/>
        </w:rPr>
        <w:t>OORE</w:t>
      </w:r>
      <w:r>
        <w:rPr>
          <w:rFonts w:eastAsia="Arial Unicode MS"/>
          <w:b/>
          <w:sz w:val="30"/>
          <w:szCs w:val="30"/>
        </w:rPr>
        <w:t xml:space="preserve"> </w:t>
      </w:r>
    </w:p>
    <w:p w:rsidR="00A8264C" w:rsidRDefault="00A8264C" w:rsidP="00A8264C">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A8264C" w:rsidRDefault="00A8264C" w:rsidP="00A8264C">
      <w:pPr>
        <w:spacing w:line="360" w:lineRule="auto"/>
        <w:ind w:left="720" w:hanging="720"/>
        <w:jc w:val="both"/>
        <w:rPr>
          <w:rFonts w:eastAsia="Arial Unicode MS"/>
          <w:b/>
          <w:sz w:val="30"/>
          <w:szCs w:val="30"/>
        </w:rPr>
      </w:pPr>
    </w:p>
    <w:p w:rsidR="004F4C65" w:rsidRDefault="004F4C65" w:rsidP="003530A0">
      <w:pPr>
        <w:spacing w:line="360" w:lineRule="auto"/>
        <w:jc w:val="both"/>
        <w:rPr>
          <w:rFonts w:eastAsia="Arial Unicode MS"/>
          <w:b/>
          <w:sz w:val="30"/>
          <w:szCs w:val="30"/>
        </w:rPr>
      </w:pPr>
    </w:p>
    <w:p w:rsidR="004F4C65" w:rsidRDefault="004F4C65" w:rsidP="00A8264C">
      <w:pPr>
        <w:spacing w:line="360" w:lineRule="auto"/>
        <w:ind w:left="720" w:hanging="720"/>
        <w:jc w:val="both"/>
        <w:rPr>
          <w:rFonts w:eastAsia="Arial Unicode MS"/>
          <w:b/>
          <w:sz w:val="30"/>
          <w:szCs w:val="30"/>
        </w:rPr>
      </w:pPr>
    </w:p>
    <w:p w:rsidR="00A8264C" w:rsidRPr="00C3028C" w:rsidRDefault="00A8264C" w:rsidP="00A8264C">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256F2A">
        <w:rPr>
          <w:rFonts w:eastAsia="Arial Unicode MS"/>
          <w:b/>
          <w:sz w:val="30"/>
          <w:szCs w:val="30"/>
        </w:rPr>
        <w:t xml:space="preserve"> </w:t>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A8264C" w:rsidRDefault="00A8264C" w:rsidP="00A8264C">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7A3004">
        <w:rPr>
          <w:rFonts w:eastAsia="Arial Unicode MS"/>
          <w:b/>
          <w:sz w:val="30"/>
          <w:szCs w:val="30"/>
        </w:rPr>
        <w:t>MCB MAPHALALA</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7A3004">
        <w:rPr>
          <w:rFonts w:eastAsia="Arial Unicode MS"/>
          <w:b/>
          <w:sz w:val="30"/>
          <w:szCs w:val="30"/>
        </w:rPr>
        <w:tab/>
      </w:r>
      <w:r w:rsidR="007A3004">
        <w:rPr>
          <w:rFonts w:eastAsia="Arial Unicode MS"/>
          <w:b/>
          <w:sz w:val="30"/>
          <w:szCs w:val="30"/>
        </w:rPr>
        <w:tab/>
      </w:r>
      <w:r>
        <w:rPr>
          <w:rFonts w:eastAsia="Arial Unicode MS"/>
          <w:b/>
          <w:sz w:val="30"/>
          <w:szCs w:val="30"/>
        </w:rPr>
        <w:t>JUSTICE OF APPEAL</w:t>
      </w:r>
    </w:p>
    <w:p w:rsidR="006A6588" w:rsidRDefault="006A6588" w:rsidP="001F2144">
      <w:pPr>
        <w:spacing w:line="360" w:lineRule="auto"/>
        <w:jc w:val="both"/>
        <w:rPr>
          <w:rFonts w:eastAsia="Arial Unicode MS"/>
          <w:b/>
          <w:sz w:val="30"/>
          <w:szCs w:val="30"/>
        </w:rPr>
      </w:pPr>
    </w:p>
    <w:p w:rsidR="003530A0" w:rsidRDefault="003530A0" w:rsidP="001F2144">
      <w:pPr>
        <w:spacing w:line="360" w:lineRule="auto"/>
        <w:jc w:val="both"/>
        <w:rPr>
          <w:rFonts w:eastAsia="Arial Unicode MS"/>
          <w:b/>
          <w:sz w:val="30"/>
          <w:szCs w:val="30"/>
        </w:rPr>
      </w:pPr>
    </w:p>
    <w:p w:rsidR="00A8264C" w:rsidRPr="00775896" w:rsidRDefault="00A8264C" w:rsidP="00A8264C">
      <w:pPr>
        <w:spacing w:line="360" w:lineRule="auto"/>
        <w:ind w:left="720" w:hanging="720"/>
        <w:jc w:val="both"/>
        <w:rPr>
          <w:rFonts w:eastAsia="Arial Unicode MS"/>
          <w:b/>
          <w:sz w:val="30"/>
          <w:szCs w:val="30"/>
        </w:rPr>
      </w:pPr>
      <w:r w:rsidRPr="00775896">
        <w:rPr>
          <w:rFonts w:eastAsia="Arial Unicode MS"/>
          <w:b/>
          <w:sz w:val="30"/>
          <w:szCs w:val="30"/>
        </w:rPr>
        <w:t>For App</w:t>
      </w:r>
      <w:r w:rsidR="007A3004">
        <w:rPr>
          <w:rFonts w:eastAsia="Arial Unicode MS"/>
          <w:b/>
          <w:sz w:val="30"/>
          <w:szCs w:val="30"/>
        </w:rPr>
        <w:t xml:space="preserve">licant </w:t>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t xml:space="preserve"> </w:t>
      </w:r>
      <w:proofErr w:type="spellStart"/>
      <w:r w:rsidR="001F2144" w:rsidRPr="001F2144">
        <w:rPr>
          <w:rFonts w:eastAsia="Arial Unicode MS"/>
          <w:sz w:val="30"/>
          <w:szCs w:val="30"/>
        </w:rPr>
        <w:t>Mr</w:t>
      </w:r>
      <w:proofErr w:type="spellEnd"/>
      <w:r w:rsidR="001F2144" w:rsidRPr="001F2144">
        <w:rPr>
          <w:rFonts w:eastAsia="Arial Unicode MS"/>
          <w:sz w:val="30"/>
          <w:szCs w:val="30"/>
        </w:rPr>
        <w:t xml:space="preserve"> L.R. Mamba</w:t>
      </w:r>
    </w:p>
    <w:p w:rsidR="00A8264C" w:rsidRPr="00775896" w:rsidRDefault="00A8264C" w:rsidP="00A8264C">
      <w:pPr>
        <w:spacing w:line="360" w:lineRule="auto"/>
        <w:ind w:left="720" w:hanging="720"/>
        <w:jc w:val="both"/>
        <w:rPr>
          <w:rFonts w:eastAsia="Arial Unicode MS"/>
          <w:b/>
          <w:sz w:val="30"/>
          <w:szCs w:val="30"/>
        </w:rPr>
      </w:pPr>
    </w:p>
    <w:p w:rsidR="00A8264C" w:rsidRPr="001F2144" w:rsidRDefault="00A8264C" w:rsidP="00A8264C">
      <w:pPr>
        <w:rPr>
          <w:sz w:val="30"/>
          <w:szCs w:val="30"/>
        </w:rPr>
      </w:pPr>
      <w:r w:rsidRPr="00775896">
        <w:rPr>
          <w:rFonts w:eastAsia="Arial Unicode MS"/>
          <w:b/>
          <w:sz w:val="30"/>
          <w:szCs w:val="30"/>
        </w:rPr>
        <w:t>For Respondent</w:t>
      </w:r>
      <w:r>
        <w:rPr>
          <w:rFonts w:eastAsia="Arial Unicode MS"/>
          <w:b/>
          <w:sz w:val="30"/>
          <w:szCs w:val="30"/>
        </w:rPr>
        <w:tab/>
        <w:t xml:space="preserve">             </w:t>
      </w:r>
      <w:r w:rsidRPr="00775896">
        <w:rPr>
          <w:rFonts w:eastAsia="Arial Unicode MS"/>
          <w:b/>
          <w:sz w:val="30"/>
          <w:szCs w:val="30"/>
        </w:rPr>
        <w:t xml:space="preserve"> </w:t>
      </w:r>
      <w:r w:rsidR="006A6588">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t xml:space="preserve">  </w:t>
      </w:r>
      <w:proofErr w:type="spellStart"/>
      <w:r w:rsidR="001F2144" w:rsidRPr="001F2144">
        <w:rPr>
          <w:rFonts w:eastAsia="Arial Unicode MS"/>
          <w:sz w:val="30"/>
          <w:szCs w:val="30"/>
        </w:rPr>
        <w:t>Mr</w:t>
      </w:r>
      <w:proofErr w:type="spellEnd"/>
      <w:r w:rsidR="001F2144" w:rsidRPr="001F2144">
        <w:rPr>
          <w:rFonts w:eastAsia="Arial Unicode MS"/>
          <w:sz w:val="30"/>
          <w:szCs w:val="30"/>
        </w:rPr>
        <w:t xml:space="preserve"> Z.D. </w:t>
      </w:r>
      <w:proofErr w:type="spellStart"/>
      <w:r w:rsidR="001F2144" w:rsidRPr="001F2144">
        <w:rPr>
          <w:rFonts w:eastAsia="Arial Unicode MS"/>
          <w:sz w:val="30"/>
          <w:szCs w:val="30"/>
        </w:rPr>
        <w:t>Jele</w:t>
      </w:r>
      <w:proofErr w:type="spellEnd"/>
      <w:r w:rsidRPr="001F2144">
        <w:rPr>
          <w:rFonts w:eastAsia="Arial Unicode MS"/>
          <w:sz w:val="30"/>
          <w:szCs w:val="30"/>
        </w:rPr>
        <w:tab/>
      </w:r>
    </w:p>
    <w:p w:rsidR="00A8264C" w:rsidRPr="00775896" w:rsidRDefault="00A8264C" w:rsidP="00A8264C">
      <w:pPr>
        <w:rPr>
          <w:sz w:val="30"/>
          <w:szCs w:val="30"/>
        </w:rPr>
      </w:pPr>
    </w:p>
    <w:p w:rsidR="00A8264C" w:rsidRPr="00775896" w:rsidRDefault="00A8264C" w:rsidP="00A8264C">
      <w:pPr>
        <w:rPr>
          <w:sz w:val="30"/>
          <w:szCs w:val="30"/>
        </w:rPr>
      </w:pPr>
    </w:p>
    <w:p w:rsidR="00A8264C" w:rsidRPr="00775896" w:rsidRDefault="00A8264C" w:rsidP="00A8264C">
      <w:pPr>
        <w:rPr>
          <w:sz w:val="32"/>
          <w:szCs w:val="32"/>
        </w:rPr>
      </w:pPr>
    </w:p>
    <w:p w:rsidR="00A8264C" w:rsidRDefault="00A8264C" w:rsidP="00A8264C"/>
    <w:p w:rsidR="00A8264C" w:rsidRDefault="00A8264C" w:rsidP="00A8264C"/>
    <w:p w:rsidR="00A8264C" w:rsidRDefault="00A8264C" w:rsidP="00A8264C"/>
    <w:p w:rsidR="00A8264C" w:rsidRDefault="00A8264C" w:rsidP="00A8264C"/>
    <w:p w:rsidR="00A8264C" w:rsidRDefault="00A8264C" w:rsidP="00A8264C"/>
    <w:p w:rsidR="004C7510" w:rsidRDefault="004C7510"/>
    <w:sectPr w:rsidR="004C7510" w:rsidSect="00171910">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1B" w:rsidRDefault="005E361B" w:rsidP="00192856">
      <w:r>
        <w:separator/>
      </w:r>
    </w:p>
  </w:endnote>
  <w:endnote w:type="continuationSeparator" w:id="0">
    <w:p w:rsidR="005E361B" w:rsidRDefault="005E361B" w:rsidP="0019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2F" w:rsidRDefault="00B45861" w:rsidP="00171910">
    <w:pPr>
      <w:pStyle w:val="Footer"/>
      <w:framePr w:wrap="around" w:vAnchor="text" w:hAnchor="margin" w:xAlign="center" w:y="1"/>
      <w:rPr>
        <w:rStyle w:val="PageNumber"/>
      </w:rPr>
    </w:pPr>
    <w:r>
      <w:rPr>
        <w:rStyle w:val="PageNumber"/>
      </w:rPr>
      <w:fldChar w:fldCharType="begin"/>
    </w:r>
    <w:r w:rsidR="00EE6FD9">
      <w:rPr>
        <w:rStyle w:val="PageNumber"/>
      </w:rPr>
      <w:instrText xml:space="preserve">PAGE  </w:instrText>
    </w:r>
    <w:r>
      <w:rPr>
        <w:rStyle w:val="PageNumber"/>
      </w:rPr>
      <w:fldChar w:fldCharType="end"/>
    </w:r>
  </w:p>
  <w:p w:rsidR="001C502F" w:rsidRDefault="005E3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2F" w:rsidRDefault="00B45861" w:rsidP="00171910">
    <w:pPr>
      <w:pStyle w:val="Footer"/>
      <w:framePr w:wrap="around" w:vAnchor="text" w:hAnchor="margin" w:xAlign="center" w:y="1"/>
      <w:rPr>
        <w:rStyle w:val="PageNumber"/>
      </w:rPr>
    </w:pPr>
    <w:r>
      <w:rPr>
        <w:rStyle w:val="PageNumber"/>
      </w:rPr>
      <w:fldChar w:fldCharType="begin"/>
    </w:r>
    <w:r w:rsidR="00EE6FD9">
      <w:rPr>
        <w:rStyle w:val="PageNumber"/>
      </w:rPr>
      <w:instrText xml:space="preserve">PAGE  </w:instrText>
    </w:r>
    <w:r>
      <w:rPr>
        <w:rStyle w:val="PageNumber"/>
      </w:rPr>
      <w:fldChar w:fldCharType="separate"/>
    </w:r>
    <w:r w:rsidR="00D45D79">
      <w:rPr>
        <w:rStyle w:val="PageNumber"/>
        <w:noProof/>
      </w:rPr>
      <w:t>17</w:t>
    </w:r>
    <w:r>
      <w:rPr>
        <w:rStyle w:val="PageNumber"/>
      </w:rPr>
      <w:fldChar w:fldCharType="end"/>
    </w:r>
  </w:p>
  <w:p w:rsidR="001C502F" w:rsidRDefault="005E3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1B" w:rsidRDefault="005E361B" w:rsidP="00192856">
      <w:r>
        <w:separator/>
      </w:r>
    </w:p>
  </w:footnote>
  <w:footnote w:type="continuationSeparator" w:id="0">
    <w:p w:rsidR="005E361B" w:rsidRDefault="005E361B" w:rsidP="0019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A59"/>
    <w:multiLevelType w:val="hybridMultilevel"/>
    <w:tmpl w:val="52DC31F0"/>
    <w:lvl w:ilvl="0" w:tplc="13C83176">
      <w:start w:val="1"/>
      <w:numFmt w:val="decimal"/>
      <w:lvlText w:val="(%1)"/>
      <w:lvlJc w:val="left"/>
      <w:pPr>
        <w:ind w:left="2340" w:hanging="360"/>
      </w:pPr>
      <w:rPr>
        <w:rFonts w:ascii="Times New Roman" w:eastAsia="Arial Unicode MS"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B4E6245"/>
    <w:multiLevelType w:val="hybridMultilevel"/>
    <w:tmpl w:val="D8A6D838"/>
    <w:lvl w:ilvl="0" w:tplc="56B4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3038DA"/>
    <w:multiLevelType w:val="hybridMultilevel"/>
    <w:tmpl w:val="53B83B96"/>
    <w:lvl w:ilvl="0" w:tplc="F1283C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A82DC8"/>
    <w:multiLevelType w:val="hybridMultilevel"/>
    <w:tmpl w:val="2D3EE8AC"/>
    <w:lvl w:ilvl="0" w:tplc="0AC0D3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6CE013FA"/>
    <w:multiLevelType w:val="hybridMultilevel"/>
    <w:tmpl w:val="882208AC"/>
    <w:lvl w:ilvl="0" w:tplc="F084B4B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4C"/>
    <w:rsid w:val="000245E8"/>
    <w:rsid w:val="00030C94"/>
    <w:rsid w:val="00054E07"/>
    <w:rsid w:val="00063AB6"/>
    <w:rsid w:val="00065860"/>
    <w:rsid w:val="000726A1"/>
    <w:rsid w:val="000B3DBD"/>
    <w:rsid w:val="000F3697"/>
    <w:rsid w:val="00101EC8"/>
    <w:rsid w:val="00115CB0"/>
    <w:rsid w:val="00117315"/>
    <w:rsid w:val="0012680C"/>
    <w:rsid w:val="001371E5"/>
    <w:rsid w:val="00154450"/>
    <w:rsid w:val="001565A9"/>
    <w:rsid w:val="001577A4"/>
    <w:rsid w:val="001628AE"/>
    <w:rsid w:val="00192856"/>
    <w:rsid w:val="00195312"/>
    <w:rsid w:val="00196286"/>
    <w:rsid w:val="001C233D"/>
    <w:rsid w:val="001C4412"/>
    <w:rsid w:val="001C6920"/>
    <w:rsid w:val="001E5811"/>
    <w:rsid w:val="001F2144"/>
    <w:rsid w:val="002104D7"/>
    <w:rsid w:val="00226C2B"/>
    <w:rsid w:val="002425EA"/>
    <w:rsid w:val="00256F2A"/>
    <w:rsid w:val="00267FB0"/>
    <w:rsid w:val="00293AEE"/>
    <w:rsid w:val="002A0F42"/>
    <w:rsid w:val="002C5911"/>
    <w:rsid w:val="002E49FA"/>
    <w:rsid w:val="0032170E"/>
    <w:rsid w:val="0033213B"/>
    <w:rsid w:val="003530A0"/>
    <w:rsid w:val="003564D3"/>
    <w:rsid w:val="003724EC"/>
    <w:rsid w:val="003860C2"/>
    <w:rsid w:val="00390222"/>
    <w:rsid w:val="003B590E"/>
    <w:rsid w:val="003C373A"/>
    <w:rsid w:val="003C70A6"/>
    <w:rsid w:val="003E6D17"/>
    <w:rsid w:val="003F3E51"/>
    <w:rsid w:val="004247A2"/>
    <w:rsid w:val="00447A15"/>
    <w:rsid w:val="0046581C"/>
    <w:rsid w:val="00467DDB"/>
    <w:rsid w:val="004728A3"/>
    <w:rsid w:val="004A26C1"/>
    <w:rsid w:val="004B64FA"/>
    <w:rsid w:val="004C7510"/>
    <w:rsid w:val="004F4C65"/>
    <w:rsid w:val="00514C26"/>
    <w:rsid w:val="00523ADC"/>
    <w:rsid w:val="00574BB0"/>
    <w:rsid w:val="00581D51"/>
    <w:rsid w:val="005E361B"/>
    <w:rsid w:val="0065181B"/>
    <w:rsid w:val="00661494"/>
    <w:rsid w:val="006872EA"/>
    <w:rsid w:val="00693E89"/>
    <w:rsid w:val="006A6588"/>
    <w:rsid w:val="006B390F"/>
    <w:rsid w:val="006E15ED"/>
    <w:rsid w:val="00701869"/>
    <w:rsid w:val="00751475"/>
    <w:rsid w:val="007A1646"/>
    <w:rsid w:val="007A3004"/>
    <w:rsid w:val="007A52AD"/>
    <w:rsid w:val="007C4987"/>
    <w:rsid w:val="007D4568"/>
    <w:rsid w:val="007E2120"/>
    <w:rsid w:val="00816656"/>
    <w:rsid w:val="00820B7C"/>
    <w:rsid w:val="0082762D"/>
    <w:rsid w:val="00840834"/>
    <w:rsid w:val="00856510"/>
    <w:rsid w:val="00883CA9"/>
    <w:rsid w:val="008F1B1F"/>
    <w:rsid w:val="00931CAE"/>
    <w:rsid w:val="00945D2E"/>
    <w:rsid w:val="00945F39"/>
    <w:rsid w:val="00970E1A"/>
    <w:rsid w:val="009736C4"/>
    <w:rsid w:val="009A3A65"/>
    <w:rsid w:val="009C7AF0"/>
    <w:rsid w:val="00A16054"/>
    <w:rsid w:val="00A50984"/>
    <w:rsid w:val="00A64AB3"/>
    <w:rsid w:val="00A66C6F"/>
    <w:rsid w:val="00A756F4"/>
    <w:rsid w:val="00A8264C"/>
    <w:rsid w:val="00B033C7"/>
    <w:rsid w:val="00B45861"/>
    <w:rsid w:val="00BA7248"/>
    <w:rsid w:val="00BC103F"/>
    <w:rsid w:val="00BD02F5"/>
    <w:rsid w:val="00BD633B"/>
    <w:rsid w:val="00BE0183"/>
    <w:rsid w:val="00C03F84"/>
    <w:rsid w:val="00C0627F"/>
    <w:rsid w:val="00C3354C"/>
    <w:rsid w:val="00C41BEB"/>
    <w:rsid w:val="00C461BD"/>
    <w:rsid w:val="00C77B6D"/>
    <w:rsid w:val="00C96C8F"/>
    <w:rsid w:val="00CB0E07"/>
    <w:rsid w:val="00CD09BC"/>
    <w:rsid w:val="00CE35E2"/>
    <w:rsid w:val="00CF183D"/>
    <w:rsid w:val="00CF2CCB"/>
    <w:rsid w:val="00D00967"/>
    <w:rsid w:val="00D02E94"/>
    <w:rsid w:val="00D45D79"/>
    <w:rsid w:val="00D65B38"/>
    <w:rsid w:val="00D71EBA"/>
    <w:rsid w:val="00D76AB0"/>
    <w:rsid w:val="00D81F23"/>
    <w:rsid w:val="00D875C8"/>
    <w:rsid w:val="00DB088A"/>
    <w:rsid w:val="00DC7D75"/>
    <w:rsid w:val="00DD193E"/>
    <w:rsid w:val="00DD4AFE"/>
    <w:rsid w:val="00DE7F5E"/>
    <w:rsid w:val="00E03179"/>
    <w:rsid w:val="00E75E7C"/>
    <w:rsid w:val="00E86C12"/>
    <w:rsid w:val="00EB07B1"/>
    <w:rsid w:val="00EC0B84"/>
    <w:rsid w:val="00EC2D9C"/>
    <w:rsid w:val="00ED47A7"/>
    <w:rsid w:val="00EE6FD9"/>
    <w:rsid w:val="00F47762"/>
    <w:rsid w:val="00F701C8"/>
    <w:rsid w:val="00F95042"/>
    <w:rsid w:val="00F95981"/>
    <w:rsid w:val="00FA51C9"/>
    <w:rsid w:val="00FB7D47"/>
    <w:rsid w:val="00FD4E25"/>
    <w:rsid w:val="00FD63A8"/>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264C"/>
    <w:pPr>
      <w:tabs>
        <w:tab w:val="center" w:pos="4320"/>
        <w:tab w:val="right" w:pos="8640"/>
      </w:tabs>
    </w:pPr>
  </w:style>
  <w:style w:type="character" w:customStyle="1" w:styleId="FooterChar">
    <w:name w:val="Footer Char"/>
    <w:basedOn w:val="DefaultParagraphFont"/>
    <w:link w:val="Footer"/>
    <w:rsid w:val="00A8264C"/>
    <w:rPr>
      <w:rFonts w:ascii="Times New Roman" w:eastAsia="Times New Roman" w:hAnsi="Times New Roman" w:cs="Times New Roman"/>
      <w:sz w:val="24"/>
      <w:szCs w:val="24"/>
    </w:rPr>
  </w:style>
  <w:style w:type="character" w:styleId="PageNumber">
    <w:name w:val="page number"/>
    <w:basedOn w:val="DefaultParagraphFont"/>
    <w:rsid w:val="00A8264C"/>
  </w:style>
  <w:style w:type="paragraph" w:styleId="ListParagraph">
    <w:name w:val="List Paragraph"/>
    <w:basedOn w:val="Normal"/>
    <w:uiPriority w:val="34"/>
    <w:qFormat/>
    <w:rsid w:val="00A8264C"/>
    <w:pPr>
      <w:ind w:left="720"/>
      <w:contextualSpacing/>
    </w:pPr>
  </w:style>
  <w:style w:type="paragraph" w:styleId="BalloonText">
    <w:name w:val="Balloon Text"/>
    <w:basedOn w:val="Normal"/>
    <w:link w:val="BalloonTextChar"/>
    <w:uiPriority w:val="99"/>
    <w:semiHidden/>
    <w:unhideWhenUsed/>
    <w:rsid w:val="00A8264C"/>
    <w:rPr>
      <w:rFonts w:ascii="Tahoma" w:hAnsi="Tahoma" w:cs="Tahoma"/>
      <w:sz w:val="16"/>
      <w:szCs w:val="16"/>
    </w:rPr>
  </w:style>
  <w:style w:type="character" w:customStyle="1" w:styleId="BalloonTextChar">
    <w:name w:val="Balloon Text Char"/>
    <w:basedOn w:val="DefaultParagraphFont"/>
    <w:link w:val="BalloonText"/>
    <w:uiPriority w:val="99"/>
    <w:semiHidden/>
    <w:rsid w:val="00A826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264C"/>
    <w:pPr>
      <w:tabs>
        <w:tab w:val="center" w:pos="4320"/>
        <w:tab w:val="right" w:pos="8640"/>
      </w:tabs>
    </w:pPr>
  </w:style>
  <w:style w:type="character" w:customStyle="1" w:styleId="FooterChar">
    <w:name w:val="Footer Char"/>
    <w:basedOn w:val="DefaultParagraphFont"/>
    <w:link w:val="Footer"/>
    <w:rsid w:val="00A8264C"/>
    <w:rPr>
      <w:rFonts w:ascii="Times New Roman" w:eastAsia="Times New Roman" w:hAnsi="Times New Roman" w:cs="Times New Roman"/>
      <w:sz w:val="24"/>
      <w:szCs w:val="24"/>
    </w:rPr>
  </w:style>
  <w:style w:type="character" w:styleId="PageNumber">
    <w:name w:val="page number"/>
    <w:basedOn w:val="DefaultParagraphFont"/>
    <w:rsid w:val="00A8264C"/>
  </w:style>
  <w:style w:type="paragraph" w:styleId="ListParagraph">
    <w:name w:val="List Paragraph"/>
    <w:basedOn w:val="Normal"/>
    <w:uiPriority w:val="34"/>
    <w:qFormat/>
    <w:rsid w:val="00A8264C"/>
    <w:pPr>
      <w:ind w:left="720"/>
      <w:contextualSpacing/>
    </w:pPr>
  </w:style>
  <w:style w:type="paragraph" w:styleId="BalloonText">
    <w:name w:val="Balloon Text"/>
    <w:basedOn w:val="Normal"/>
    <w:link w:val="BalloonTextChar"/>
    <w:uiPriority w:val="99"/>
    <w:semiHidden/>
    <w:unhideWhenUsed/>
    <w:rsid w:val="00A8264C"/>
    <w:rPr>
      <w:rFonts w:ascii="Tahoma" w:hAnsi="Tahoma" w:cs="Tahoma"/>
      <w:sz w:val="16"/>
      <w:szCs w:val="16"/>
    </w:rPr>
  </w:style>
  <w:style w:type="character" w:customStyle="1" w:styleId="BalloonTextChar">
    <w:name w:val="Balloon Text Char"/>
    <w:basedOn w:val="DefaultParagraphFont"/>
    <w:link w:val="BalloonText"/>
    <w:uiPriority w:val="99"/>
    <w:semiHidden/>
    <w:rsid w:val="00A826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9C80A-49C4-41A9-A721-0EBC4655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swazilii</cp:lastModifiedBy>
  <cp:revision>2</cp:revision>
  <cp:lastPrinted>2013-11-18T07:23:00Z</cp:lastPrinted>
  <dcterms:created xsi:type="dcterms:W3CDTF">2013-12-02T08:05:00Z</dcterms:created>
  <dcterms:modified xsi:type="dcterms:W3CDTF">2013-12-02T08:05:00Z</dcterms:modified>
</cp:coreProperties>
</file>