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4E" w:rsidRPr="00614F06" w:rsidRDefault="0069094E" w:rsidP="0069094E">
      <w:pPr>
        <w:ind w:left="2160" w:firstLine="720"/>
        <w:jc w:val="both"/>
        <w:rPr>
          <w:rFonts w:ascii="Bookman Old Style" w:hAnsi="Bookman Old Style"/>
        </w:rPr>
      </w:pPr>
      <w:r>
        <w:rPr>
          <w:rFonts w:ascii="Bookman Old Style" w:hAnsi="Bookman Old Style"/>
        </w:rPr>
        <w:t xml:space="preserve">    </w:t>
      </w:r>
      <w:r>
        <w:rPr>
          <w:rFonts w:ascii="Bookman Old Style" w:hAnsi="Bookman Old Style"/>
          <w:noProof/>
          <w:lang w:val="en-ZA" w:eastAsia="en-ZA"/>
        </w:rPr>
        <w:drawing>
          <wp:inline distT="0" distB="0" distL="0" distR="0">
            <wp:extent cx="1209675" cy="69532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209675" cy="695325"/>
                    </a:xfrm>
                    <a:prstGeom prst="rect">
                      <a:avLst/>
                    </a:prstGeom>
                    <a:noFill/>
                    <a:ln w="9525">
                      <a:noFill/>
                      <a:miter lim="800000"/>
                      <a:headEnd/>
                      <a:tailEnd/>
                    </a:ln>
                  </pic:spPr>
                </pic:pic>
              </a:graphicData>
            </a:graphic>
          </wp:inline>
        </w:drawing>
      </w:r>
    </w:p>
    <w:p w:rsidR="0069094E" w:rsidRPr="000C4306" w:rsidRDefault="0069094E" w:rsidP="0069094E">
      <w:pPr>
        <w:ind w:left="2160" w:firstLine="720"/>
        <w:jc w:val="both"/>
        <w:rPr>
          <w:rFonts w:ascii="Bookman Old Style" w:hAnsi="Bookman Old Style"/>
        </w:rPr>
      </w:pPr>
    </w:p>
    <w:p w:rsidR="0069094E" w:rsidRPr="00682EB3" w:rsidRDefault="0069094E" w:rsidP="0069094E">
      <w:pPr>
        <w:jc w:val="center"/>
        <w:rPr>
          <w:b/>
          <w:sz w:val="26"/>
          <w:szCs w:val="26"/>
        </w:rPr>
      </w:pPr>
      <w:r w:rsidRPr="00682EB3">
        <w:rPr>
          <w:b/>
          <w:sz w:val="26"/>
          <w:szCs w:val="26"/>
        </w:rPr>
        <w:t xml:space="preserve">IN THE </w:t>
      </w:r>
      <w:r>
        <w:rPr>
          <w:b/>
          <w:sz w:val="26"/>
          <w:szCs w:val="26"/>
        </w:rPr>
        <w:t>SUPREME</w:t>
      </w:r>
      <w:r w:rsidRPr="00682EB3">
        <w:rPr>
          <w:b/>
          <w:sz w:val="26"/>
          <w:szCs w:val="26"/>
        </w:rPr>
        <w:t xml:space="preserve"> COURT OF SWAZILAND</w:t>
      </w:r>
    </w:p>
    <w:p w:rsidR="0069094E" w:rsidRPr="00682EB3" w:rsidRDefault="0069094E" w:rsidP="0069094E">
      <w:pPr>
        <w:jc w:val="both"/>
        <w:rPr>
          <w:b/>
          <w:sz w:val="26"/>
          <w:szCs w:val="26"/>
          <w:u w:val="single"/>
          <w:lang w:val="en-CA"/>
        </w:rPr>
      </w:pPr>
    </w:p>
    <w:p w:rsidR="0069094E" w:rsidRPr="00682EB3" w:rsidRDefault="0069094E" w:rsidP="0069094E">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w:t>
      </w:r>
      <w:r>
        <w:rPr>
          <w:sz w:val="26"/>
          <w:szCs w:val="26"/>
          <w:lang w:val="en-CA"/>
        </w:rPr>
        <w:t>Appeal</w:t>
      </w:r>
      <w:r w:rsidRPr="00682EB3">
        <w:rPr>
          <w:sz w:val="26"/>
          <w:szCs w:val="26"/>
          <w:lang w:val="en-CA"/>
        </w:rPr>
        <w:t xml:space="preserve"> No: </w:t>
      </w:r>
      <w:r>
        <w:rPr>
          <w:sz w:val="26"/>
          <w:szCs w:val="26"/>
          <w:lang w:val="en-CA"/>
        </w:rPr>
        <w:t>47/2013</w:t>
      </w:r>
    </w:p>
    <w:p w:rsidR="0069094E" w:rsidRPr="00682EB3" w:rsidRDefault="0069094E" w:rsidP="0069094E">
      <w:pPr>
        <w:spacing w:line="480" w:lineRule="auto"/>
        <w:jc w:val="both"/>
        <w:rPr>
          <w:sz w:val="26"/>
          <w:szCs w:val="26"/>
        </w:rPr>
      </w:pPr>
      <w:r w:rsidRPr="00682EB3">
        <w:rPr>
          <w:sz w:val="26"/>
          <w:szCs w:val="26"/>
        </w:rPr>
        <w:t>In the matter between:</w:t>
      </w:r>
    </w:p>
    <w:p w:rsidR="0069094E" w:rsidRDefault="0069094E" w:rsidP="0069094E">
      <w:pPr>
        <w:spacing w:line="360" w:lineRule="auto"/>
        <w:jc w:val="both"/>
        <w:rPr>
          <w:b/>
          <w:lang w:val="en-ZA"/>
        </w:rPr>
      </w:pPr>
      <w:r>
        <w:rPr>
          <w:b/>
          <w:lang w:val="en-ZA"/>
        </w:rPr>
        <w:t>SIKHUMBU</w:t>
      </w:r>
      <w:r w:rsidR="00E959AB">
        <w:rPr>
          <w:b/>
          <w:lang w:val="en-ZA"/>
        </w:rPr>
        <w:t>Z</w:t>
      </w:r>
      <w:r>
        <w:rPr>
          <w:b/>
          <w:lang w:val="en-ZA"/>
        </w:rPr>
        <w:t xml:space="preserve">O R. MABILA NO </w:t>
      </w:r>
      <w:r>
        <w:rPr>
          <w:b/>
          <w:lang w:val="en-ZA"/>
        </w:rPr>
        <w:tab/>
      </w:r>
      <w:r w:rsidRPr="00C9391A">
        <w:rPr>
          <w:b/>
          <w:lang w:val="en-ZA"/>
        </w:rPr>
        <w:tab/>
      </w:r>
      <w:r>
        <w:rPr>
          <w:b/>
          <w:lang w:val="en-ZA"/>
        </w:rPr>
        <w:tab/>
      </w:r>
      <w:r>
        <w:rPr>
          <w:b/>
          <w:lang w:val="en-ZA"/>
        </w:rPr>
        <w:tab/>
        <w:t xml:space="preserve">        FIRST APPELLANT</w:t>
      </w:r>
    </w:p>
    <w:p w:rsidR="0069094E" w:rsidRDefault="0069094E" w:rsidP="0069094E">
      <w:pPr>
        <w:spacing w:line="360" w:lineRule="auto"/>
        <w:jc w:val="both"/>
        <w:rPr>
          <w:b/>
          <w:lang w:val="en-ZA"/>
        </w:rPr>
      </w:pPr>
      <w:r>
        <w:rPr>
          <w:b/>
          <w:lang w:val="en-ZA"/>
        </w:rPr>
        <w:t xml:space="preserve">THE SIKHUMBUZO </w:t>
      </w:r>
      <w:r w:rsidR="007B71A7">
        <w:rPr>
          <w:b/>
          <w:lang w:val="en-ZA"/>
        </w:rPr>
        <w:t>REGINALD MABILA</w:t>
      </w:r>
      <w:r>
        <w:rPr>
          <w:b/>
          <w:lang w:val="en-ZA"/>
        </w:rPr>
        <w:tab/>
      </w:r>
      <w:r>
        <w:rPr>
          <w:b/>
          <w:lang w:val="en-ZA"/>
        </w:rPr>
        <w:tab/>
        <w:t xml:space="preserve">        SECOND APPELLANT</w:t>
      </w:r>
    </w:p>
    <w:p w:rsidR="0069094E" w:rsidRDefault="0069094E" w:rsidP="0069094E">
      <w:pPr>
        <w:spacing w:line="360" w:lineRule="auto"/>
        <w:jc w:val="both"/>
        <w:rPr>
          <w:b/>
          <w:lang w:val="en-ZA"/>
        </w:rPr>
      </w:pPr>
      <w:r>
        <w:rPr>
          <w:b/>
          <w:lang w:val="en-ZA"/>
        </w:rPr>
        <w:t>TRUST</w:t>
      </w:r>
    </w:p>
    <w:p w:rsidR="0069094E" w:rsidRDefault="0069094E" w:rsidP="0069094E">
      <w:pPr>
        <w:spacing w:line="360" w:lineRule="auto"/>
        <w:jc w:val="both"/>
        <w:rPr>
          <w:b/>
          <w:lang w:val="en-ZA"/>
        </w:rPr>
      </w:pPr>
    </w:p>
    <w:p w:rsidR="0069094E" w:rsidRPr="00C9391A" w:rsidRDefault="0069094E" w:rsidP="0069094E">
      <w:pPr>
        <w:spacing w:line="360" w:lineRule="auto"/>
        <w:jc w:val="both"/>
        <w:rPr>
          <w:b/>
          <w:lang w:val="en-ZA"/>
        </w:rPr>
      </w:pPr>
      <w:r w:rsidRPr="00C9391A">
        <w:rPr>
          <w:b/>
          <w:lang w:val="en-ZA"/>
        </w:rPr>
        <w:t>AND</w:t>
      </w:r>
    </w:p>
    <w:p w:rsidR="0069094E" w:rsidRPr="00C9391A" w:rsidRDefault="0069094E" w:rsidP="0069094E">
      <w:pPr>
        <w:spacing w:line="360" w:lineRule="auto"/>
        <w:jc w:val="both"/>
        <w:rPr>
          <w:b/>
          <w:lang w:val="en-ZA"/>
        </w:rPr>
      </w:pPr>
    </w:p>
    <w:p w:rsidR="0069094E" w:rsidRDefault="0069094E" w:rsidP="0069094E">
      <w:pPr>
        <w:spacing w:line="360" w:lineRule="auto"/>
        <w:jc w:val="both"/>
        <w:rPr>
          <w:b/>
          <w:lang w:val="en-ZA"/>
        </w:rPr>
      </w:pPr>
      <w:r>
        <w:rPr>
          <w:b/>
          <w:lang w:val="en-ZA"/>
        </w:rPr>
        <w:t>SYZO INVESTMENT (PTY) LTD</w:t>
      </w:r>
      <w:r w:rsidRPr="00C9391A">
        <w:rPr>
          <w:b/>
          <w:lang w:val="en-ZA"/>
        </w:rPr>
        <w:tab/>
      </w:r>
      <w:r w:rsidRPr="00C9391A">
        <w:rPr>
          <w:b/>
          <w:lang w:val="en-ZA"/>
        </w:rPr>
        <w:tab/>
      </w:r>
      <w:r>
        <w:rPr>
          <w:b/>
          <w:lang w:val="en-ZA"/>
        </w:rPr>
        <w:tab/>
      </w:r>
      <w:r>
        <w:rPr>
          <w:b/>
          <w:lang w:val="en-ZA"/>
        </w:rPr>
        <w:tab/>
        <w:t xml:space="preserve">        FIRST RESPONDENT</w:t>
      </w:r>
    </w:p>
    <w:p w:rsidR="0069094E" w:rsidRDefault="001C0B75" w:rsidP="0069094E">
      <w:pPr>
        <w:spacing w:line="360" w:lineRule="auto"/>
        <w:jc w:val="both"/>
        <w:rPr>
          <w:b/>
          <w:lang w:val="en-ZA"/>
        </w:rPr>
      </w:pPr>
      <w:r>
        <w:rPr>
          <w:b/>
          <w:lang w:val="en-ZA"/>
        </w:rPr>
        <w:t>SY</w:t>
      </w:r>
      <w:r w:rsidR="006D6CD9">
        <w:rPr>
          <w:b/>
          <w:lang w:val="en-ZA"/>
        </w:rPr>
        <w:t>D</w:t>
      </w:r>
      <w:r>
        <w:rPr>
          <w:b/>
          <w:lang w:val="en-ZA"/>
        </w:rPr>
        <w:t>NEY SIBONGI</w:t>
      </w:r>
      <w:r w:rsidR="0069094E">
        <w:rPr>
          <w:b/>
          <w:lang w:val="en-ZA"/>
        </w:rPr>
        <w:t>NKOSI DLAMINI</w:t>
      </w:r>
      <w:r w:rsidR="0069094E">
        <w:rPr>
          <w:b/>
          <w:lang w:val="en-ZA"/>
        </w:rPr>
        <w:tab/>
      </w:r>
      <w:r w:rsidR="0069094E">
        <w:rPr>
          <w:b/>
          <w:lang w:val="en-ZA"/>
        </w:rPr>
        <w:tab/>
        <w:t xml:space="preserve">        </w:t>
      </w:r>
      <w:r>
        <w:rPr>
          <w:b/>
          <w:lang w:val="en-ZA"/>
        </w:rPr>
        <w:t xml:space="preserve">            </w:t>
      </w:r>
      <w:r w:rsidR="0069094E">
        <w:rPr>
          <w:b/>
          <w:lang w:val="en-ZA"/>
        </w:rPr>
        <w:t>SECOND RESPONDENT</w:t>
      </w:r>
    </w:p>
    <w:p w:rsidR="0069094E" w:rsidRDefault="0069094E" w:rsidP="0069094E">
      <w:pPr>
        <w:spacing w:line="360" w:lineRule="auto"/>
        <w:jc w:val="both"/>
        <w:rPr>
          <w:b/>
          <w:lang w:val="en-ZA"/>
        </w:rPr>
      </w:pPr>
      <w:r>
        <w:rPr>
          <w:b/>
          <w:lang w:val="en-ZA"/>
        </w:rPr>
        <w:t>REGISTRAR OF DEEDS</w:t>
      </w:r>
      <w:r>
        <w:rPr>
          <w:b/>
          <w:lang w:val="en-ZA"/>
        </w:rPr>
        <w:tab/>
      </w:r>
      <w:r>
        <w:rPr>
          <w:b/>
          <w:lang w:val="en-ZA"/>
        </w:rPr>
        <w:tab/>
      </w:r>
      <w:r>
        <w:rPr>
          <w:b/>
          <w:lang w:val="en-ZA"/>
        </w:rPr>
        <w:tab/>
      </w:r>
      <w:r>
        <w:rPr>
          <w:b/>
          <w:lang w:val="en-ZA"/>
        </w:rPr>
        <w:tab/>
      </w:r>
      <w:r>
        <w:rPr>
          <w:b/>
          <w:lang w:val="en-ZA"/>
        </w:rPr>
        <w:tab/>
        <w:t xml:space="preserve">        THIRD RESPONDENT</w:t>
      </w:r>
    </w:p>
    <w:p w:rsidR="0069094E" w:rsidRPr="00C9391A" w:rsidRDefault="0069094E" w:rsidP="0069094E">
      <w:pPr>
        <w:spacing w:line="360" w:lineRule="auto"/>
        <w:jc w:val="both"/>
        <w:rPr>
          <w:b/>
          <w:lang w:val="en-ZA"/>
        </w:rPr>
      </w:pPr>
      <w:r>
        <w:rPr>
          <w:b/>
          <w:lang w:val="en-ZA"/>
        </w:rPr>
        <w:t>THE ATTORNEY GENERAL</w:t>
      </w:r>
      <w:r>
        <w:rPr>
          <w:b/>
          <w:lang w:val="en-ZA"/>
        </w:rPr>
        <w:tab/>
      </w:r>
      <w:r>
        <w:rPr>
          <w:b/>
          <w:lang w:val="en-ZA"/>
        </w:rPr>
        <w:tab/>
      </w:r>
      <w:r>
        <w:rPr>
          <w:b/>
          <w:lang w:val="en-ZA"/>
        </w:rPr>
        <w:tab/>
      </w:r>
      <w:r>
        <w:rPr>
          <w:b/>
          <w:lang w:val="en-ZA"/>
        </w:rPr>
        <w:tab/>
        <w:t xml:space="preserve">        FOURTH RESPONDENT</w:t>
      </w:r>
    </w:p>
    <w:p w:rsidR="0069094E" w:rsidRDefault="0069094E" w:rsidP="0069094E">
      <w:pPr>
        <w:jc w:val="both"/>
        <w:rPr>
          <w:sz w:val="26"/>
          <w:szCs w:val="26"/>
          <w:lang w:val="en-ZA"/>
        </w:rPr>
      </w:pPr>
    </w:p>
    <w:p w:rsidR="0069094E" w:rsidRPr="00FA3A2A" w:rsidRDefault="0069094E" w:rsidP="007B71A7">
      <w:pPr>
        <w:ind w:left="2880" w:hanging="2880"/>
        <w:rPr>
          <w:lang w:val="en-ZA"/>
        </w:rPr>
      </w:pPr>
      <w:r w:rsidRPr="006960F0">
        <w:rPr>
          <w:lang w:val="en-ZA"/>
        </w:rPr>
        <w:t xml:space="preserve">Neutral citation: </w:t>
      </w:r>
      <w:r w:rsidRPr="006960F0">
        <w:rPr>
          <w:lang w:val="en-ZA"/>
        </w:rPr>
        <w:tab/>
      </w:r>
      <w:proofErr w:type="spellStart"/>
      <w:r w:rsidRPr="0069094E">
        <w:rPr>
          <w:i/>
          <w:lang w:val="en-ZA"/>
        </w:rPr>
        <w:t>Sikhumbuso</w:t>
      </w:r>
      <w:proofErr w:type="spellEnd"/>
      <w:r w:rsidRPr="0069094E">
        <w:rPr>
          <w:i/>
          <w:lang w:val="en-ZA"/>
        </w:rPr>
        <w:t xml:space="preserve"> R. Mabila</w:t>
      </w:r>
      <w:r>
        <w:rPr>
          <w:b/>
          <w:lang w:val="en-ZA"/>
        </w:rPr>
        <w:t xml:space="preserve"> </w:t>
      </w:r>
      <w:r w:rsidRPr="0069094E">
        <w:rPr>
          <w:i/>
          <w:lang w:val="en-ZA"/>
        </w:rPr>
        <w:t>NO</w:t>
      </w:r>
      <w:r w:rsidR="007B71A7">
        <w:rPr>
          <w:i/>
          <w:lang w:val="en-ZA"/>
        </w:rPr>
        <w:t xml:space="preserve"> and Another</w:t>
      </w:r>
      <w:r w:rsidRPr="0069094E">
        <w:rPr>
          <w:i/>
          <w:lang w:val="en-ZA"/>
        </w:rPr>
        <w:t xml:space="preserve"> </w:t>
      </w:r>
      <w:r>
        <w:rPr>
          <w:i/>
          <w:lang w:val="en-ZA"/>
        </w:rPr>
        <w:t>v</w:t>
      </w:r>
      <w:r w:rsidRPr="007B49BF">
        <w:rPr>
          <w:i/>
          <w:lang w:val="en-ZA"/>
        </w:rPr>
        <w:t xml:space="preserve">. </w:t>
      </w:r>
      <w:r w:rsidR="007B71A7" w:rsidRPr="007B71A7">
        <w:rPr>
          <w:i/>
          <w:lang w:val="en-ZA"/>
        </w:rPr>
        <w:t>SYZO Investment (Pty) Ltd</w:t>
      </w:r>
      <w:r w:rsidR="007B71A7">
        <w:rPr>
          <w:i/>
          <w:lang w:val="en-ZA"/>
        </w:rPr>
        <w:t xml:space="preserve"> and Three Others</w:t>
      </w:r>
      <w:r w:rsidR="007B71A7" w:rsidRPr="00FA3A2A">
        <w:rPr>
          <w:i/>
          <w:lang w:val="en-ZA"/>
        </w:rPr>
        <w:t xml:space="preserve"> </w:t>
      </w:r>
      <w:r w:rsidRPr="00FA3A2A">
        <w:rPr>
          <w:i/>
          <w:lang w:val="en-ZA"/>
        </w:rPr>
        <w:t>(</w:t>
      </w:r>
      <w:r w:rsidR="007B71A7">
        <w:rPr>
          <w:i/>
          <w:sz w:val="26"/>
          <w:szCs w:val="26"/>
          <w:lang w:val="en-CA"/>
        </w:rPr>
        <w:t>47</w:t>
      </w:r>
      <w:r w:rsidRPr="00762169">
        <w:rPr>
          <w:i/>
          <w:sz w:val="26"/>
          <w:szCs w:val="26"/>
          <w:lang w:val="en-CA"/>
        </w:rPr>
        <w:t>/2013</w:t>
      </w:r>
      <w:r w:rsidRPr="00FA3A2A">
        <w:rPr>
          <w:i/>
          <w:lang w:val="en-ZA"/>
        </w:rPr>
        <w:t>) [2013] SZ</w:t>
      </w:r>
      <w:r w:rsidR="001D4720">
        <w:rPr>
          <w:i/>
          <w:lang w:val="en-ZA"/>
        </w:rPr>
        <w:t>S</w:t>
      </w:r>
      <w:r w:rsidRPr="00FA3A2A">
        <w:rPr>
          <w:i/>
          <w:lang w:val="en-ZA"/>
        </w:rPr>
        <w:t>C</w:t>
      </w:r>
      <w:r w:rsidR="001D4720">
        <w:rPr>
          <w:i/>
          <w:lang w:val="en-ZA"/>
        </w:rPr>
        <w:t xml:space="preserve"> </w:t>
      </w:r>
      <w:r w:rsidR="00C64A1F">
        <w:rPr>
          <w:i/>
          <w:lang w:val="en-ZA"/>
        </w:rPr>
        <w:t>70</w:t>
      </w:r>
      <w:r>
        <w:rPr>
          <w:i/>
          <w:lang w:val="en-ZA"/>
        </w:rPr>
        <w:t xml:space="preserve"> (</w:t>
      </w:r>
      <w:r w:rsidRPr="00FA3A2A">
        <w:rPr>
          <w:i/>
          <w:lang w:val="en-ZA"/>
        </w:rPr>
        <w:t>2013)</w:t>
      </w:r>
    </w:p>
    <w:p w:rsidR="0001017B" w:rsidRDefault="0001017B" w:rsidP="0069094E">
      <w:pPr>
        <w:jc w:val="both"/>
        <w:rPr>
          <w:b/>
          <w:sz w:val="26"/>
          <w:szCs w:val="26"/>
        </w:rPr>
      </w:pPr>
    </w:p>
    <w:p w:rsidR="001C0B75" w:rsidRDefault="0069094E" w:rsidP="0069094E">
      <w:pPr>
        <w:jc w:val="both"/>
        <w:rPr>
          <w:b/>
          <w:sz w:val="26"/>
          <w:szCs w:val="26"/>
        </w:rPr>
      </w:pPr>
      <w:r>
        <w:rPr>
          <w:b/>
          <w:sz w:val="26"/>
          <w:szCs w:val="26"/>
        </w:rPr>
        <w:t>Coram:</w:t>
      </w:r>
      <w:r>
        <w:rPr>
          <w:b/>
          <w:sz w:val="26"/>
          <w:szCs w:val="26"/>
        </w:rPr>
        <w:tab/>
      </w:r>
      <w:r>
        <w:rPr>
          <w:b/>
          <w:sz w:val="26"/>
          <w:szCs w:val="26"/>
        </w:rPr>
        <w:tab/>
      </w:r>
      <w:r>
        <w:rPr>
          <w:b/>
          <w:sz w:val="26"/>
          <w:szCs w:val="26"/>
        </w:rPr>
        <w:tab/>
      </w:r>
      <w:r w:rsidR="001C0B75">
        <w:rPr>
          <w:b/>
          <w:sz w:val="26"/>
          <w:szCs w:val="26"/>
        </w:rPr>
        <w:t>M.M. RAMODIBEDI, CJ</w:t>
      </w:r>
    </w:p>
    <w:p w:rsidR="0069094E" w:rsidRDefault="0069094E" w:rsidP="001C0B75">
      <w:pPr>
        <w:ind w:left="2160" w:firstLine="720"/>
        <w:jc w:val="both"/>
        <w:rPr>
          <w:b/>
          <w:sz w:val="26"/>
          <w:szCs w:val="26"/>
        </w:rPr>
      </w:pPr>
      <w:r>
        <w:rPr>
          <w:b/>
          <w:sz w:val="26"/>
          <w:szCs w:val="26"/>
        </w:rPr>
        <w:t>S.A. MOORE, JA</w:t>
      </w:r>
    </w:p>
    <w:p w:rsidR="0069094E" w:rsidRDefault="0069094E" w:rsidP="0069094E">
      <w:pPr>
        <w:ind w:left="2160" w:firstLine="720"/>
        <w:jc w:val="both"/>
        <w:rPr>
          <w:b/>
          <w:sz w:val="26"/>
          <w:szCs w:val="26"/>
        </w:rPr>
      </w:pPr>
      <w:r>
        <w:rPr>
          <w:b/>
          <w:sz w:val="26"/>
          <w:szCs w:val="26"/>
        </w:rPr>
        <w:t>M.C.B.</w:t>
      </w:r>
      <w:r w:rsidRPr="00682EB3">
        <w:rPr>
          <w:b/>
          <w:sz w:val="26"/>
          <w:szCs w:val="26"/>
        </w:rPr>
        <w:t xml:space="preserve"> MAPHALALA</w:t>
      </w:r>
      <w:r>
        <w:rPr>
          <w:b/>
          <w:sz w:val="26"/>
          <w:szCs w:val="26"/>
        </w:rPr>
        <w:t xml:space="preserve">, </w:t>
      </w:r>
      <w:r w:rsidRPr="00682EB3">
        <w:rPr>
          <w:b/>
          <w:sz w:val="26"/>
          <w:szCs w:val="26"/>
        </w:rPr>
        <w:t>J</w:t>
      </w:r>
      <w:r>
        <w:rPr>
          <w:b/>
          <w:sz w:val="26"/>
          <w:szCs w:val="26"/>
        </w:rPr>
        <w:t>A</w:t>
      </w:r>
    </w:p>
    <w:p w:rsidR="0069094E" w:rsidRPr="00682EB3" w:rsidRDefault="0069094E" w:rsidP="0069094E">
      <w:pPr>
        <w:jc w:val="both"/>
        <w:rPr>
          <w:sz w:val="26"/>
          <w:szCs w:val="26"/>
        </w:rPr>
      </w:pPr>
      <w:r w:rsidRPr="00682EB3">
        <w:rPr>
          <w:sz w:val="26"/>
          <w:szCs w:val="26"/>
        </w:rPr>
        <w:t xml:space="preserve">     </w:t>
      </w:r>
      <w:r w:rsidRPr="00682EB3">
        <w:rPr>
          <w:sz w:val="26"/>
          <w:szCs w:val="26"/>
        </w:rPr>
        <w:tab/>
      </w:r>
    </w:p>
    <w:p w:rsidR="0069094E" w:rsidRDefault="0069094E" w:rsidP="0069094E">
      <w:pPr>
        <w:ind w:left="5760" w:hanging="5760"/>
      </w:pPr>
      <w:r>
        <w:t xml:space="preserve">Heard:                                     </w:t>
      </w:r>
      <w:r w:rsidR="001C0B75">
        <w:t>19</w:t>
      </w:r>
      <w:r>
        <w:t xml:space="preserve"> November 2013</w:t>
      </w:r>
      <w:r w:rsidRPr="00577470">
        <w:t xml:space="preserve"> </w:t>
      </w:r>
    </w:p>
    <w:p w:rsidR="0069094E" w:rsidRPr="00577470" w:rsidRDefault="0069094E" w:rsidP="0069094E">
      <w:pPr>
        <w:ind w:left="5760" w:hanging="5760"/>
      </w:pPr>
      <w:r>
        <w:t>Delivered:</w:t>
      </w:r>
      <w:r w:rsidRPr="00577470">
        <w:t xml:space="preserve">   </w:t>
      </w:r>
      <w:r>
        <w:t xml:space="preserve">                            29 November 2013</w:t>
      </w:r>
      <w:r w:rsidRPr="00577470">
        <w:tab/>
        <w:t xml:space="preserve"> </w:t>
      </w:r>
    </w:p>
    <w:p w:rsidR="0069094E" w:rsidRPr="00577470" w:rsidRDefault="0069094E" w:rsidP="0069094E"/>
    <w:p w:rsidR="0069094E" w:rsidRDefault="0069094E" w:rsidP="0069094E">
      <w:pPr>
        <w:rPr>
          <w:b/>
          <w:u w:val="single"/>
        </w:rPr>
      </w:pPr>
      <w:r w:rsidRPr="00577470">
        <w:rPr>
          <w:b/>
          <w:u w:val="single"/>
        </w:rPr>
        <w:t>Summary</w:t>
      </w:r>
    </w:p>
    <w:p w:rsidR="0069094E" w:rsidRDefault="0069094E" w:rsidP="0069094E"/>
    <w:p w:rsidR="0069094E" w:rsidRPr="001C0B75" w:rsidRDefault="0069094E" w:rsidP="0069094E">
      <w:pPr>
        <w:spacing w:line="360" w:lineRule="auto"/>
        <w:jc w:val="both"/>
      </w:pPr>
      <w:r w:rsidRPr="001C0B75">
        <w:t xml:space="preserve">Civil Appeal – </w:t>
      </w:r>
      <w:r w:rsidR="001C0B75" w:rsidRPr="001C0B75">
        <w:t xml:space="preserve">Transfer of ownership in </w:t>
      </w:r>
      <w:r w:rsidR="00B501A2">
        <w:t xml:space="preserve">respect of </w:t>
      </w:r>
      <w:r w:rsidR="001C0B75" w:rsidRPr="001C0B75">
        <w:t>immovable property to a Trust</w:t>
      </w:r>
      <w:r w:rsidR="006C182A" w:rsidRPr="001C0B75">
        <w:t xml:space="preserve"> – </w:t>
      </w:r>
      <w:r w:rsidR="001C0B75" w:rsidRPr="001C0B75">
        <w:t>held that section 15 of the Deeds Registr</w:t>
      </w:r>
      <w:r w:rsidR="006B65D5">
        <w:t>y</w:t>
      </w:r>
      <w:r w:rsidR="001C0B75" w:rsidRPr="001C0B75">
        <w:t xml:space="preserve"> Act prohibits the transfer to a non-legal person – held further that the practice obtaining at </w:t>
      </w:r>
      <w:r w:rsidR="00B501A2">
        <w:t xml:space="preserve">the </w:t>
      </w:r>
      <w:r w:rsidR="001C0B75" w:rsidRPr="001C0B75">
        <w:t>Deeds Registr</w:t>
      </w:r>
      <w:r w:rsidR="006B65D5">
        <w:t>y</w:t>
      </w:r>
      <w:r w:rsidR="001C0B75" w:rsidRPr="001C0B75">
        <w:t xml:space="preserve"> office of allowing such transfers cannot override the provisions of the section 15 of the Deeds Registr</w:t>
      </w:r>
      <w:r w:rsidR="006B65D5">
        <w:t>y</w:t>
      </w:r>
      <w:r w:rsidR="001C0B75" w:rsidRPr="001C0B75">
        <w:t xml:space="preserve"> Act – appeal dismissed – no order as to costs</w:t>
      </w:r>
    </w:p>
    <w:p w:rsidR="0069094E" w:rsidRDefault="00E5254B" w:rsidP="0069094E">
      <w:r w:rsidRPr="00E5254B">
        <w:rPr>
          <w:b/>
          <w:noProof/>
          <w:sz w:val="26"/>
          <w:szCs w:val="26"/>
          <w:lang w:val="en-US" w:eastAsia="en-US"/>
        </w:rPr>
        <w:pict>
          <v:line id="_x0000_s1026" style="position:absolute;z-index:251660288" from="0,11.5pt" to="441pt,11.5pt"/>
        </w:pict>
      </w:r>
    </w:p>
    <w:p w:rsidR="0069094E" w:rsidRPr="00A80EF9" w:rsidRDefault="0069094E" w:rsidP="0069094E">
      <w:pPr>
        <w:jc w:val="center"/>
        <w:rPr>
          <w:rFonts w:ascii="Bookman Old Style" w:hAnsi="Bookman Old Style"/>
          <w:b/>
          <w:lang w:val="fr-FR"/>
        </w:rPr>
      </w:pPr>
      <w:r w:rsidRPr="00A80EF9">
        <w:rPr>
          <w:rFonts w:ascii="Bookman Old Style" w:hAnsi="Bookman Old Style"/>
          <w:b/>
          <w:lang w:val="fr-FR"/>
        </w:rPr>
        <w:t>JUDGMENT</w:t>
      </w:r>
    </w:p>
    <w:p w:rsidR="0069094E" w:rsidRPr="00A80EF9" w:rsidRDefault="00E5254B" w:rsidP="0069094E">
      <w:pPr>
        <w:rPr>
          <w:lang w:val="fr-FR"/>
        </w:rPr>
      </w:pPr>
      <w:r w:rsidRPr="00E5254B">
        <w:rPr>
          <w:noProof/>
          <w:lang w:val="en-US" w:eastAsia="en-US"/>
        </w:rPr>
        <w:pict>
          <v:line id="_x0000_s1027" style="position:absolute;z-index:251661312" from="0,3.25pt" to="441pt,3.25pt"/>
        </w:pict>
      </w:r>
    </w:p>
    <w:p w:rsidR="0069094E" w:rsidRPr="002E0407" w:rsidRDefault="0069094E" w:rsidP="0069094E">
      <w:pPr>
        <w:rPr>
          <w:b/>
          <w:sz w:val="28"/>
          <w:szCs w:val="28"/>
          <w:u w:val="single"/>
          <w:lang w:val="fr-FR"/>
        </w:rPr>
      </w:pPr>
      <w:r w:rsidRPr="002E0407">
        <w:rPr>
          <w:b/>
          <w:sz w:val="28"/>
          <w:szCs w:val="28"/>
          <w:u w:val="single"/>
          <w:lang w:val="fr-FR"/>
        </w:rPr>
        <w:lastRenderedPageBreak/>
        <w:t>M.C.B. MAPHALALA,  JA</w:t>
      </w:r>
    </w:p>
    <w:p w:rsidR="0069094E" w:rsidRPr="002E0407" w:rsidRDefault="0069094E" w:rsidP="0069094E">
      <w:pPr>
        <w:spacing w:line="480" w:lineRule="auto"/>
        <w:ind w:left="720" w:hanging="720"/>
        <w:jc w:val="both"/>
        <w:rPr>
          <w:sz w:val="26"/>
          <w:szCs w:val="26"/>
          <w:lang w:val="fr-FR"/>
        </w:rPr>
      </w:pPr>
    </w:p>
    <w:p w:rsidR="006E0258" w:rsidRDefault="006E0258" w:rsidP="00D908BA">
      <w:pPr>
        <w:spacing w:line="480" w:lineRule="auto"/>
        <w:ind w:left="720" w:hanging="720"/>
        <w:jc w:val="both"/>
        <w:rPr>
          <w:sz w:val="26"/>
          <w:szCs w:val="26"/>
        </w:rPr>
      </w:pPr>
      <w:r w:rsidRPr="00297A47">
        <w:rPr>
          <w:sz w:val="26"/>
          <w:szCs w:val="26"/>
        </w:rPr>
        <w:t>[1]</w:t>
      </w:r>
      <w:r w:rsidRPr="00297A47">
        <w:rPr>
          <w:sz w:val="26"/>
          <w:szCs w:val="26"/>
        </w:rPr>
        <w:tab/>
        <w:t>On the 18</w:t>
      </w:r>
      <w:r w:rsidRPr="00297A47">
        <w:rPr>
          <w:sz w:val="26"/>
          <w:szCs w:val="26"/>
          <w:vertAlign w:val="superscript"/>
        </w:rPr>
        <w:t>th</w:t>
      </w:r>
      <w:r w:rsidRPr="00297A47">
        <w:rPr>
          <w:sz w:val="26"/>
          <w:szCs w:val="26"/>
        </w:rPr>
        <w:t xml:space="preserve"> July 2013 the </w:t>
      </w:r>
      <w:r>
        <w:rPr>
          <w:sz w:val="26"/>
          <w:szCs w:val="26"/>
        </w:rPr>
        <w:t>C</w:t>
      </w:r>
      <w:r w:rsidRPr="00297A47">
        <w:rPr>
          <w:sz w:val="26"/>
          <w:szCs w:val="26"/>
        </w:rPr>
        <w:t xml:space="preserve">ourt </w:t>
      </w:r>
      <w:r w:rsidRPr="00297A47">
        <w:rPr>
          <w:i/>
          <w:sz w:val="26"/>
          <w:szCs w:val="26"/>
        </w:rPr>
        <w:t>a quo</w:t>
      </w:r>
      <w:r w:rsidRPr="00297A47">
        <w:rPr>
          <w:sz w:val="26"/>
          <w:szCs w:val="26"/>
        </w:rPr>
        <w:t xml:space="preserve"> dismissed an application brought by the appellants </w:t>
      </w:r>
      <w:r w:rsidR="006B65D5">
        <w:rPr>
          <w:sz w:val="26"/>
          <w:szCs w:val="26"/>
        </w:rPr>
        <w:t xml:space="preserve">seeking an order </w:t>
      </w:r>
      <w:r w:rsidRPr="00297A47">
        <w:rPr>
          <w:sz w:val="26"/>
          <w:szCs w:val="26"/>
        </w:rPr>
        <w:t>directing the first and second respondents to transfer certain immovable property into the name of the second app</w:t>
      </w:r>
      <w:r w:rsidR="00D911E1">
        <w:rPr>
          <w:sz w:val="26"/>
          <w:szCs w:val="26"/>
        </w:rPr>
        <w:t>e</w:t>
      </w:r>
      <w:r w:rsidRPr="00297A47">
        <w:rPr>
          <w:sz w:val="26"/>
          <w:szCs w:val="26"/>
        </w:rPr>
        <w:t>l</w:t>
      </w:r>
      <w:r w:rsidR="00D911E1">
        <w:rPr>
          <w:sz w:val="26"/>
          <w:szCs w:val="26"/>
        </w:rPr>
        <w:t>l</w:t>
      </w:r>
      <w:r w:rsidRPr="00297A47">
        <w:rPr>
          <w:sz w:val="26"/>
          <w:szCs w:val="26"/>
        </w:rPr>
        <w:t>ant, a trust established by the first appellant.  The basis of the judgment is that such a transfer is prohibited by section 15 of the Deeds Registry Act No. 13 of 1968.</w:t>
      </w:r>
    </w:p>
    <w:p w:rsidR="006E0258" w:rsidRPr="00297A47" w:rsidRDefault="006E0258" w:rsidP="006E0258">
      <w:pPr>
        <w:spacing w:line="480" w:lineRule="auto"/>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[2]</w:t>
      </w:r>
      <w:r w:rsidRPr="00297A47">
        <w:rPr>
          <w:sz w:val="26"/>
          <w:szCs w:val="26"/>
        </w:rPr>
        <w:tab/>
        <w:t>The appellants lodged a Notice of Appeal timeously on the 16</w:t>
      </w:r>
      <w:r w:rsidRPr="00297A47">
        <w:rPr>
          <w:sz w:val="26"/>
          <w:szCs w:val="26"/>
          <w:vertAlign w:val="superscript"/>
        </w:rPr>
        <w:t>th</w:t>
      </w:r>
      <w:r w:rsidRPr="00297A47">
        <w:rPr>
          <w:sz w:val="26"/>
          <w:szCs w:val="26"/>
        </w:rPr>
        <w:t xml:space="preserve"> August, 2013.  Rule 8 (1) of the Rules of Court stipulates that a notice of appeal shall be filed within four weeks of the date of the judgment appealed against.</w:t>
      </w:r>
      <w:r w:rsidR="006B65D5">
        <w:rPr>
          <w:sz w:val="26"/>
          <w:szCs w:val="26"/>
        </w:rPr>
        <w:t xml:space="preserve"> </w:t>
      </w:r>
      <w:r w:rsidRPr="00297A47">
        <w:rPr>
          <w:sz w:val="26"/>
          <w:szCs w:val="26"/>
        </w:rPr>
        <w:t xml:space="preserve">The grounds of appeal were as follows: firstly, that the </w:t>
      </w:r>
      <w:r>
        <w:rPr>
          <w:sz w:val="26"/>
          <w:szCs w:val="26"/>
        </w:rPr>
        <w:t>C</w:t>
      </w:r>
      <w:r w:rsidRPr="00297A47">
        <w:rPr>
          <w:sz w:val="26"/>
          <w:szCs w:val="26"/>
        </w:rPr>
        <w:t xml:space="preserve">ourt </w:t>
      </w:r>
      <w:r w:rsidRPr="00297A47">
        <w:rPr>
          <w:i/>
          <w:sz w:val="26"/>
          <w:szCs w:val="26"/>
        </w:rPr>
        <w:t>a quo</w:t>
      </w:r>
      <w:r w:rsidRPr="00297A47">
        <w:rPr>
          <w:sz w:val="26"/>
          <w:szCs w:val="26"/>
        </w:rPr>
        <w:t xml:space="preserve"> erred in finding that the second </w:t>
      </w:r>
      <w:r w:rsidR="006B65D5">
        <w:rPr>
          <w:sz w:val="26"/>
          <w:szCs w:val="26"/>
        </w:rPr>
        <w:t xml:space="preserve">respondent </w:t>
      </w:r>
      <w:r w:rsidRPr="00297A47">
        <w:rPr>
          <w:sz w:val="26"/>
          <w:szCs w:val="26"/>
        </w:rPr>
        <w:t xml:space="preserve">or in the alternative, the first </w:t>
      </w:r>
      <w:r w:rsidR="006B65D5">
        <w:rPr>
          <w:sz w:val="26"/>
          <w:szCs w:val="26"/>
        </w:rPr>
        <w:t>respondent</w:t>
      </w:r>
      <w:r w:rsidRPr="00297A47">
        <w:rPr>
          <w:sz w:val="26"/>
          <w:szCs w:val="26"/>
        </w:rPr>
        <w:t xml:space="preserve"> cannot transfer ownership of immovable property to the </w:t>
      </w:r>
      <w:r w:rsidR="00B501A2">
        <w:rPr>
          <w:sz w:val="26"/>
          <w:szCs w:val="26"/>
        </w:rPr>
        <w:t xml:space="preserve">second </w:t>
      </w:r>
      <w:r w:rsidRPr="00297A47">
        <w:rPr>
          <w:sz w:val="26"/>
          <w:szCs w:val="26"/>
        </w:rPr>
        <w:t xml:space="preserve">appellant.  Secondly, </w:t>
      </w:r>
      <w:r w:rsidR="00B501A2">
        <w:rPr>
          <w:sz w:val="26"/>
          <w:szCs w:val="26"/>
        </w:rPr>
        <w:t xml:space="preserve">that </w:t>
      </w:r>
      <w:r w:rsidRPr="00297A47">
        <w:rPr>
          <w:sz w:val="26"/>
          <w:szCs w:val="26"/>
        </w:rPr>
        <w:t xml:space="preserve">the learned judge </w:t>
      </w:r>
      <w:r w:rsidRPr="00297A47">
        <w:rPr>
          <w:i/>
          <w:sz w:val="26"/>
          <w:szCs w:val="26"/>
        </w:rPr>
        <w:t>a quo</w:t>
      </w:r>
      <w:r w:rsidRPr="00297A47">
        <w:rPr>
          <w:sz w:val="26"/>
          <w:szCs w:val="26"/>
        </w:rPr>
        <w:t xml:space="preserve"> failed to take into account the full provision</w:t>
      </w:r>
      <w:r w:rsidR="00B501A2">
        <w:rPr>
          <w:sz w:val="26"/>
          <w:szCs w:val="26"/>
        </w:rPr>
        <w:t>s</w:t>
      </w:r>
      <w:r w:rsidRPr="00297A47">
        <w:rPr>
          <w:sz w:val="26"/>
          <w:szCs w:val="26"/>
        </w:rPr>
        <w:t xml:space="preserve"> of section 15 of the Deeds Registry Act and interpreted the </w:t>
      </w:r>
      <w:r w:rsidR="006B65D5">
        <w:rPr>
          <w:sz w:val="26"/>
          <w:szCs w:val="26"/>
        </w:rPr>
        <w:t>S</w:t>
      </w:r>
      <w:r w:rsidRPr="00297A47">
        <w:rPr>
          <w:sz w:val="26"/>
          <w:szCs w:val="26"/>
        </w:rPr>
        <w:t xml:space="preserve">tatute erroneously, thus barring any further considerations pertaining to the transfer of immovable property even on the basis of such legislation.  Thirdly, that the </w:t>
      </w:r>
      <w:r w:rsidR="006B65D5">
        <w:rPr>
          <w:sz w:val="26"/>
          <w:szCs w:val="26"/>
        </w:rPr>
        <w:t>C</w:t>
      </w:r>
      <w:r w:rsidRPr="00297A47">
        <w:rPr>
          <w:sz w:val="26"/>
          <w:szCs w:val="26"/>
        </w:rPr>
        <w:t xml:space="preserve">ourt </w:t>
      </w:r>
      <w:r w:rsidR="00D911E1" w:rsidRPr="00297A47">
        <w:rPr>
          <w:i/>
          <w:sz w:val="26"/>
          <w:szCs w:val="26"/>
        </w:rPr>
        <w:t>a quo</w:t>
      </w:r>
      <w:r w:rsidR="00D911E1" w:rsidRPr="00297A47">
        <w:rPr>
          <w:sz w:val="26"/>
          <w:szCs w:val="26"/>
        </w:rPr>
        <w:t xml:space="preserve"> </w:t>
      </w:r>
      <w:r w:rsidRPr="00297A47">
        <w:rPr>
          <w:sz w:val="26"/>
          <w:szCs w:val="26"/>
        </w:rPr>
        <w:t>failed to take into consideration the ramification</w:t>
      </w:r>
      <w:r w:rsidR="00D911E1">
        <w:rPr>
          <w:sz w:val="26"/>
          <w:szCs w:val="26"/>
        </w:rPr>
        <w:t>s</w:t>
      </w:r>
      <w:r w:rsidRPr="00297A47">
        <w:rPr>
          <w:sz w:val="26"/>
          <w:szCs w:val="26"/>
        </w:rPr>
        <w:t xml:space="preserve"> to the general practice in Swaziland of registering immovable property into the name of a trust</w:t>
      </w:r>
      <w:r w:rsidR="006B65D5">
        <w:rPr>
          <w:sz w:val="26"/>
          <w:szCs w:val="26"/>
        </w:rPr>
        <w:t>; and, that f</w:t>
      </w:r>
      <w:r w:rsidRPr="00297A47">
        <w:rPr>
          <w:sz w:val="26"/>
          <w:szCs w:val="26"/>
        </w:rPr>
        <w:t>urther inquiry would have revealed that usage had developed to a point where judicial recognition of custom and practice is warranted.</w:t>
      </w:r>
    </w:p>
    <w:p w:rsidR="00B501A2" w:rsidRPr="00297A47" w:rsidRDefault="00B501A2" w:rsidP="00D908BA">
      <w:pPr>
        <w:spacing w:line="480" w:lineRule="auto"/>
        <w:ind w:left="720" w:hanging="720"/>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lastRenderedPageBreak/>
        <w:t>[</w:t>
      </w:r>
      <w:r w:rsidR="006B65D5">
        <w:rPr>
          <w:sz w:val="26"/>
          <w:szCs w:val="26"/>
        </w:rPr>
        <w:t>3</w:t>
      </w:r>
      <w:r w:rsidRPr="00297A47">
        <w:rPr>
          <w:sz w:val="26"/>
          <w:szCs w:val="26"/>
        </w:rPr>
        <w:t>]</w:t>
      </w:r>
      <w:r w:rsidRPr="00297A47">
        <w:rPr>
          <w:sz w:val="26"/>
          <w:szCs w:val="26"/>
        </w:rPr>
        <w:tab/>
      </w:r>
      <w:r>
        <w:rPr>
          <w:sz w:val="26"/>
          <w:szCs w:val="26"/>
        </w:rPr>
        <w:t>T</w:t>
      </w:r>
      <w:r w:rsidRPr="00297A47">
        <w:rPr>
          <w:sz w:val="26"/>
          <w:szCs w:val="26"/>
        </w:rPr>
        <w:t xml:space="preserve">he fourth ground of appeal is that the </w:t>
      </w:r>
      <w:r>
        <w:rPr>
          <w:sz w:val="26"/>
          <w:szCs w:val="26"/>
        </w:rPr>
        <w:t>C</w:t>
      </w:r>
      <w:r w:rsidRPr="00297A47">
        <w:rPr>
          <w:sz w:val="26"/>
          <w:szCs w:val="26"/>
        </w:rPr>
        <w:t xml:space="preserve">ourt </w:t>
      </w:r>
      <w:r w:rsidRPr="00297A47">
        <w:rPr>
          <w:i/>
          <w:sz w:val="26"/>
          <w:szCs w:val="26"/>
        </w:rPr>
        <w:t>a quo</w:t>
      </w:r>
      <w:r w:rsidRPr="00297A47">
        <w:rPr>
          <w:sz w:val="26"/>
          <w:szCs w:val="26"/>
        </w:rPr>
        <w:t xml:space="preserve"> erred in finding that the prevailing practice in Swaziland of registering property in the name of a trust is therefore not correct and does not find support in law; and, that the appellants are appealing against the finding on the basis that the contrary is the legal position in Swaziland.   The fifth ground of appeal is that the </w:t>
      </w:r>
      <w:r>
        <w:rPr>
          <w:sz w:val="26"/>
          <w:szCs w:val="26"/>
        </w:rPr>
        <w:t>C</w:t>
      </w:r>
      <w:r w:rsidRPr="00297A47">
        <w:rPr>
          <w:sz w:val="26"/>
          <w:szCs w:val="26"/>
        </w:rPr>
        <w:t xml:space="preserve">ourt </w:t>
      </w:r>
      <w:r w:rsidRPr="00297A47">
        <w:rPr>
          <w:i/>
          <w:sz w:val="26"/>
          <w:szCs w:val="26"/>
        </w:rPr>
        <w:t>a quo</w:t>
      </w:r>
      <w:r w:rsidRPr="00297A47">
        <w:rPr>
          <w:sz w:val="26"/>
          <w:szCs w:val="26"/>
        </w:rPr>
        <w:t xml:space="preserve"> should have taken into consideration the merits of the matter in order that a complete analysis of the </w:t>
      </w:r>
      <w:r w:rsidR="00B501A2" w:rsidRPr="00297A47">
        <w:rPr>
          <w:sz w:val="26"/>
          <w:szCs w:val="26"/>
        </w:rPr>
        <w:t>prevailing</w:t>
      </w:r>
      <w:r w:rsidRPr="00297A47">
        <w:rPr>
          <w:sz w:val="26"/>
          <w:szCs w:val="26"/>
        </w:rPr>
        <w:t xml:space="preserve"> jurisprudence </w:t>
      </w:r>
      <w:proofErr w:type="gramStart"/>
      <w:r w:rsidRPr="00297A47">
        <w:rPr>
          <w:sz w:val="26"/>
          <w:szCs w:val="26"/>
        </w:rPr>
        <w:t>be</w:t>
      </w:r>
      <w:proofErr w:type="gramEnd"/>
      <w:r w:rsidRPr="00297A47">
        <w:rPr>
          <w:sz w:val="26"/>
          <w:szCs w:val="26"/>
        </w:rPr>
        <w:t xml:space="preserve"> applied </w:t>
      </w:r>
      <w:r w:rsidR="00B501A2">
        <w:rPr>
          <w:sz w:val="26"/>
          <w:szCs w:val="26"/>
        </w:rPr>
        <w:t>in order</w:t>
      </w:r>
      <w:r w:rsidRPr="00297A47">
        <w:rPr>
          <w:sz w:val="26"/>
          <w:szCs w:val="26"/>
        </w:rPr>
        <w:t xml:space="preserve"> to expose the </w:t>
      </w:r>
      <w:proofErr w:type="spellStart"/>
      <w:r w:rsidRPr="00297A47">
        <w:rPr>
          <w:sz w:val="26"/>
          <w:szCs w:val="26"/>
        </w:rPr>
        <w:t>justiciability</w:t>
      </w:r>
      <w:proofErr w:type="spellEnd"/>
      <w:r w:rsidRPr="00297A47">
        <w:rPr>
          <w:sz w:val="26"/>
          <w:szCs w:val="26"/>
        </w:rPr>
        <w:t xml:space="preserve"> of the decision which is premised on a technicality.   </w:t>
      </w:r>
      <w:r w:rsidR="00C7306A">
        <w:rPr>
          <w:sz w:val="26"/>
          <w:szCs w:val="26"/>
        </w:rPr>
        <w:t>It is contended that i</w:t>
      </w:r>
      <w:r w:rsidRPr="00297A47">
        <w:rPr>
          <w:sz w:val="26"/>
          <w:szCs w:val="26"/>
        </w:rPr>
        <w:t xml:space="preserve">t is not a desirable practice for the </w:t>
      </w:r>
      <w:r w:rsidR="006B65D5">
        <w:rPr>
          <w:sz w:val="26"/>
          <w:szCs w:val="26"/>
        </w:rPr>
        <w:t>C</w:t>
      </w:r>
      <w:r w:rsidRPr="00297A47">
        <w:rPr>
          <w:sz w:val="26"/>
          <w:szCs w:val="26"/>
        </w:rPr>
        <w:t xml:space="preserve">ourts to reach decisions based on technicalities; and, that the decision of the Court </w:t>
      </w:r>
      <w:r w:rsidRPr="00297A47">
        <w:rPr>
          <w:i/>
          <w:sz w:val="26"/>
          <w:szCs w:val="26"/>
        </w:rPr>
        <w:t>a quo</w:t>
      </w:r>
      <w:r w:rsidRPr="00297A47">
        <w:rPr>
          <w:sz w:val="26"/>
          <w:szCs w:val="26"/>
        </w:rPr>
        <w:t xml:space="preserve"> must be set aside and an order premised on the merits be pronounced by this </w:t>
      </w:r>
      <w:r w:rsidR="001F64C2">
        <w:rPr>
          <w:sz w:val="26"/>
          <w:szCs w:val="26"/>
        </w:rPr>
        <w:t>C</w:t>
      </w:r>
      <w:r w:rsidRPr="00297A47">
        <w:rPr>
          <w:sz w:val="26"/>
          <w:szCs w:val="26"/>
        </w:rPr>
        <w:t>ourt.</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w:t>
      </w:r>
      <w:r w:rsidR="001F64C2">
        <w:rPr>
          <w:sz w:val="26"/>
          <w:szCs w:val="26"/>
        </w:rPr>
        <w:t>4</w:t>
      </w:r>
      <w:r w:rsidRPr="00297A47">
        <w:rPr>
          <w:sz w:val="26"/>
          <w:szCs w:val="26"/>
        </w:rPr>
        <w:t>]</w:t>
      </w:r>
      <w:r w:rsidRPr="00297A47">
        <w:rPr>
          <w:sz w:val="26"/>
          <w:szCs w:val="26"/>
        </w:rPr>
        <w:tab/>
        <w:t>The facts of this matter are common cause.   The first respondent</w:t>
      </w:r>
      <w:r w:rsidR="00D911E1">
        <w:rPr>
          <w:sz w:val="26"/>
          <w:szCs w:val="26"/>
        </w:rPr>
        <w:t>,</w:t>
      </w:r>
      <w:r w:rsidRPr="00297A47">
        <w:rPr>
          <w:sz w:val="26"/>
          <w:szCs w:val="26"/>
        </w:rPr>
        <w:t xml:space="preserve"> duly represented by the second respondent</w:t>
      </w:r>
      <w:r w:rsidR="00D911E1">
        <w:rPr>
          <w:sz w:val="26"/>
          <w:szCs w:val="26"/>
        </w:rPr>
        <w:t>,</w:t>
      </w:r>
      <w:r w:rsidRPr="00297A47">
        <w:rPr>
          <w:sz w:val="26"/>
          <w:szCs w:val="26"/>
        </w:rPr>
        <w:t xml:space="preserve"> concluded a contract of sale with the first appellant in his capacity as the Founder and Trustee in the cause of formation.   The trust was subsequently formed and registered as protocol No. 06/2012 on the 10</w:t>
      </w:r>
      <w:r w:rsidRPr="00297A47">
        <w:rPr>
          <w:sz w:val="26"/>
          <w:szCs w:val="26"/>
          <w:vertAlign w:val="superscript"/>
        </w:rPr>
        <w:t>th</w:t>
      </w:r>
      <w:r w:rsidRPr="00297A47">
        <w:rPr>
          <w:sz w:val="26"/>
          <w:szCs w:val="26"/>
        </w:rPr>
        <w:t xml:space="preserve"> December 2012.   In terms of the contract</w:t>
      </w:r>
      <w:r w:rsidR="00D911E1">
        <w:rPr>
          <w:sz w:val="26"/>
          <w:szCs w:val="26"/>
        </w:rPr>
        <w:t>,</w:t>
      </w:r>
      <w:r w:rsidRPr="00297A47">
        <w:rPr>
          <w:sz w:val="26"/>
          <w:szCs w:val="26"/>
        </w:rPr>
        <w:t xml:space="preserve"> the </w:t>
      </w:r>
      <w:r w:rsidR="00D911E1">
        <w:rPr>
          <w:sz w:val="26"/>
          <w:szCs w:val="26"/>
        </w:rPr>
        <w:t>first</w:t>
      </w:r>
      <w:r w:rsidRPr="00297A47">
        <w:rPr>
          <w:sz w:val="26"/>
          <w:szCs w:val="26"/>
        </w:rPr>
        <w:t xml:space="preserve"> respondent </w:t>
      </w:r>
      <w:r w:rsidR="001F64C2">
        <w:rPr>
          <w:sz w:val="26"/>
          <w:szCs w:val="26"/>
        </w:rPr>
        <w:t xml:space="preserve">was </w:t>
      </w:r>
      <w:r w:rsidRPr="00297A47">
        <w:rPr>
          <w:sz w:val="26"/>
          <w:szCs w:val="26"/>
        </w:rPr>
        <w:t>duly represented by the second respondent</w:t>
      </w:r>
      <w:r w:rsidR="00D911E1">
        <w:rPr>
          <w:sz w:val="26"/>
          <w:szCs w:val="26"/>
        </w:rPr>
        <w:t>,</w:t>
      </w:r>
      <w:r w:rsidRPr="00297A47">
        <w:rPr>
          <w:sz w:val="26"/>
          <w:szCs w:val="26"/>
        </w:rPr>
        <w:t xml:space="preserve"> in </w:t>
      </w:r>
      <w:r w:rsidR="001F64C2">
        <w:rPr>
          <w:sz w:val="26"/>
          <w:szCs w:val="26"/>
        </w:rPr>
        <w:t>his</w:t>
      </w:r>
      <w:r w:rsidRPr="00297A47">
        <w:rPr>
          <w:sz w:val="26"/>
          <w:szCs w:val="26"/>
        </w:rPr>
        <w:t xml:space="preserve"> capacity as </w:t>
      </w:r>
      <w:r w:rsidR="00B501A2">
        <w:rPr>
          <w:sz w:val="26"/>
          <w:szCs w:val="26"/>
        </w:rPr>
        <w:t xml:space="preserve">the </w:t>
      </w:r>
      <w:r w:rsidRPr="00297A47">
        <w:rPr>
          <w:sz w:val="26"/>
          <w:szCs w:val="26"/>
        </w:rPr>
        <w:t xml:space="preserve">Managing Director of the first appellant.   The </w:t>
      </w:r>
      <w:r w:rsidR="001F64C2">
        <w:rPr>
          <w:sz w:val="26"/>
          <w:szCs w:val="26"/>
        </w:rPr>
        <w:t xml:space="preserve">first </w:t>
      </w:r>
      <w:r w:rsidRPr="00297A47">
        <w:rPr>
          <w:sz w:val="26"/>
          <w:szCs w:val="26"/>
        </w:rPr>
        <w:t xml:space="preserve">respondent sold to the </w:t>
      </w:r>
      <w:r w:rsidR="001F64C2">
        <w:rPr>
          <w:sz w:val="26"/>
          <w:szCs w:val="26"/>
        </w:rPr>
        <w:t xml:space="preserve">second </w:t>
      </w:r>
      <w:r w:rsidRPr="00297A47">
        <w:rPr>
          <w:sz w:val="26"/>
          <w:szCs w:val="26"/>
        </w:rPr>
        <w:t xml:space="preserve">appellant property, </w:t>
      </w:r>
      <w:r w:rsidR="001F64C2">
        <w:rPr>
          <w:sz w:val="26"/>
          <w:szCs w:val="26"/>
        </w:rPr>
        <w:t xml:space="preserve">to </w:t>
      </w:r>
      <w:r w:rsidRPr="00297A47">
        <w:rPr>
          <w:sz w:val="26"/>
          <w:szCs w:val="26"/>
        </w:rPr>
        <w:t xml:space="preserve">wit, certain property </w:t>
      </w:r>
      <w:r w:rsidR="001F64C2">
        <w:rPr>
          <w:sz w:val="26"/>
          <w:szCs w:val="26"/>
        </w:rPr>
        <w:t>described as</w:t>
      </w:r>
      <w:r w:rsidR="00D911E1">
        <w:rPr>
          <w:sz w:val="26"/>
          <w:szCs w:val="26"/>
        </w:rPr>
        <w:t xml:space="preserve"> </w:t>
      </w:r>
      <w:r w:rsidRPr="00297A47">
        <w:rPr>
          <w:sz w:val="26"/>
          <w:szCs w:val="26"/>
        </w:rPr>
        <w:t>Lot No. 464, Matsapha Industrial site, Manzini District, and measuring 8542 square metres.</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lastRenderedPageBreak/>
        <w:t>[</w:t>
      </w:r>
      <w:r w:rsidR="001F64C2">
        <w:rPr>
          <w:sz w:val="26"/>
          <w:szCs w:val="26"/>
        </w:rPr>
        <w:t>5</w:t>
      </w:r>
      <w:r w:rsidRPr="00297A47">
        <w:rPr>
          <w:sz w:val="26"/>
          <w:szCs w:val="26"/>
        </w:rPr>
        <w:t>]</w:t>
      </w:r>
      <w:r w:rsidRPr="00297A47">
        <w:rPr>
          <w:sz w:val="26"/>
          <w:szCs w:val="26"/>
        </w:rPr>
        <w:tab/>
        <w:t xml:space="preserve">The purchase price was the sum of E1 250 000.00(one million two hundred and fifty thousand </w:t>
      </w:r>
      <w:proofErr w:type="spellStart"/>
      <w:r w:rsidRPr="00297A47">
        <w:rPr>
          <w:sz w:val="26"/>
          <w:szCs w:val="26"/>
        </w:rPr>
        <w:t>emalangeni</w:t>
      </w:r>
      <w:proofErr w:type="spellEnd"/>
      <w:r w:rsidRPr="00297A47">
        <w:rPr>
          <w:sz w:val="26"/>
          <w:szCs w:val="26"/>
        </w:rPr>
        <w:t>), and this amount had to be secured by a covering letter of guarantee issued by a registered financial institution securing the amount of E1 250 000.00</w:t>
      </w:r>
      <w:r w:rsidR="00686DA4">
        <w:rPr>
          <w:sz w:val="26"/>
          <w:szCs w:val="26"/>
        </w:rPr>
        <w:t xml:space="preserve"> </w:t>
      </w:r>
      <w:r w:rsidRPr="00297A47">
        <w:rPr>
          <w:sz w:val="26"/>
          <w:szCs w:val="26"/>
        </w:rPr>
        <w:t xml:space="preserve">(one million two hundred and fifty thousand </w:t>
      </w:r>
      <w:proofErr w:type="spellStart"/>
      <w:r w:rsidRPr="00297A47">
        <w:rPr>
          <w:sz w:val="26"/>
          <w:szCs w:val="26"/>
        </w:rPr>
        <w:t>emalangeni</w:t>
      </w:r>
      <w:proofErr w:type="spellEnd"/>
      <w:r w:rsidRPr="00297A47">
        <w:rPr>
          <w:sz w:val="26"/>
          <w:szCs w:val="26"/>
        </w:rPr>
        <w:t xml:space="preserve">) and made payable to the seller upon registration of the property </w:t>
      </w:r>
      <w:r w:rsidR="001F64C2">
        <w:rPr>
          <w:sz w:val="26"/>
          <w:szCs w:val="26"/>
        </w:rPr>
        <w:t xml:space="preserve">in </w:t>
      </w:r>
      <w:r w:rsidRPr="00297A47">
        <w:rPr>
          <w:sz w:val="26"/>
          <w:szCs w:val="26"/>
        </w:rPr>
        <w:t>the name of the purchaser</w:t>
      </w:r>
      <w:r w:rsidR="001F64C2">
        <w:rPr>
          <w:sz w:val="26"/>
          <w:szCs w:val="26"/>
        </w:rPr>
        <w:t>,</w:t>
      </w:r>
      <w:r w:rsidRPr="00297A47">
        <w:rPr>
          <w:sz w:val="26"/>
          <w:szCs w:val="26"/>
        </w:rPr>
        <w:t xml:space="preserve"> being the trust in the cause of formation.  Transfer of the property to the purchaser would only be effected upon the furnishing of the bank guarantee</w:t>
      </w:r>
      <w:r w:rsidR="001F64C2">
        <w:rPr>
          <w:sz w:val="26"/>
          <w:szCs w:val="26"/>
        </w:rPr>
        <w:t>,</w:t>
      </w:r>
      <w:r w:rsidRPr="00297A47">
        <w:rPr>
          <w:sz w:val="26"/>
          <w:szCs w:val="26"/>
        </w:rPr>
        <w:t xml:space="preserve"> transfer duty </w:t>
      </w:r>
      <w:r w:rsidR="001F64C2">
        <w:rPr>
          <w:sz w:val="26"/>
          <w:szCs w:val="26"/>
        </w:rPr>
        <w:t xml:space="preserve">as well as </w:t>
      </w:r>
      <w:r w:rsidRPr="00297A47">
        <w:rPr>
          <w:sz w:val="26"/>
          <w:szCs w:val="26"/>
        </w:rPr>
        <w:t>transfer costs.   Possession and occupation of the property would be given to the purchaser upon registration of transfer of the property into the name of the purchaser</w:t>
      </w:r>
      <w:r w:rsidR="00D911E1">
        <w:rPr>
          <w:sz w:val="26"/>
          <w:szCs w:val="26"/>
        </w:rPr>
        <w:t xml:space="preserve">. </w:t>
      </w:r>
      <w:r w:rsidRPr="00297A47">
        <w:rPr>
          <w:sz w:val="26"/>
          <w:szCs w:val="26"/>
        </w:rPr>
        <w:t xml:space="preserve"> </w:t>
      </w:r>
      <w:r w:rsidR="00D911E1">
        <w:rPr>
          <w:sz w:val="26"/>
          <w:szCs w:val="26"/>
        </w:rPr>
        <w:t>C</w:t>
      </w:r>
      <w:r w:rsidRPr="00297A47">
        <w:rPr>
          <w:sz w:val="26"/>
          <w:szCs w:val="26"/>
        </w:rPr>
        <w:t xml:space="preserve">lause 8 emphasised that the parties </w:t>
      </w:r>
      <w:r w:rsidR="00D911E1">
        <w:rPr>
          <w:sz w:val="26"/>
          <w:szCs w:val="26"/>
        </w:rPr>
        <w:t>ha</w:t>
      </w:r>
      <w:r w:rsidR="001F64C2">
        <w:rPr>
          <w:sz w:val="26"/>
          <w:szCs w:val="26"/>
        </w:rPr>
        <w:t>d</w:t>
      </w:r>
      <w:r w:rsidR="00D911E1">
        <w:rPr>
          <w:sz w:val="26"/>
          <w:szCs w:val="26"/>
        </w:rPr>
        <w:t xml:space="preserve"> </w:t>
      </w:r>
      <w:r w:rsidRPr="00297A47">
        <w:rPr>
          <w:sz w:val="26"/>
          <w:szCs w:val="26"/>
        </w:rPr>
        <w:t xml:space="preserve">agreed that </w:t>
      </w:r>
      <w:r w:rsidR="001F64C2">
        <w:rPr>
          <w:sz w:val="26"/>
          <w:szCs w:val="26"/>
        </w:rPr>
        <w:t xml:space="preserve">the </w:t>
      </w:r>
      <w:r w:rsidRPr="00297A47">
        <w:rPr>
          <w:sz w:val="26"/>
          <w:szCs w:val="26"/>
        </w:rPr>
        <w:t xml:space="preserve">written agreement </w:t>
      </w:r>
      <w:r w:rsidR="001F64C2">
        <w:rPr>
          <w:sz w:val="26"/>
          <w:szCs w:val="26"/>
        </w:rPr>
        <w:t xml:space="preserve">would </w:t>
      </w:r>
      <w:r w:rsidRPr="00297A47">
        <w:rPr>
          <w:sz w:val="26"/>
          <w:szCs w:val="26"/>
        </w:rPr>
        <w:t xml:space="preserve">constitute the entire contract between the parties.  Clause 9 is </w:t>
      </w:r>
      <w:r w:rsidR="00D911E1">
        <w:rPr>
          <w:sz w:val="26"/>
          <w:szCs w:val="26"/>
        </w:rPr>
        <w:t>equally</w:t>
      </w:r>
      <w:r w:rsidRPr="00297A47">
        <w:rPr>
          <w:sz w:val="26"/>
          <w:szCs w:val="26"/>
        </w:rPr>
        <w:t xml:space="preserve"> important</w:t>
      </w:r>
      <w:r w:rsidR="00D911E1">
        <w:rPr>
          <w:sz w:val="26"/>
          <w:szCs w:val="26"/>
        </w:rPr>
        <w:t>, and it provides,</w:t>
      </w:r>
      <w:r w:rsidRPr="00297A47">
        <w:rPr>
          <w:sz w:val="26"/>
          <w:szCs w:val="26"/>
        </w:rPr>
        <w:t xml:space="preserve"> that “if either party breaches the contract and remains so in breach for a period of 14 days after written notice to rectify the breach or if either party repudiates the agreement, the other party may sue for specific performance of the defaulting party’s obligations</w:t>
      </w:r>
      <w:r w:rsidR="00B501A2">
        <w:rPr>
          <w:sz w:val="26"/>
          <w:szCs w:val="26"/>
        </w:rPr>
        <w:t>”</w:t>
      </w:r>
      <w:r w:rsidRPr="00297A47">
        <w:rPr>
          <w:sz w:val="26"/>
          <w:szCs w:val="26"/>
        </w:rPr>
        <w:t>.</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w:t>
      </w:r>
      <w:r w:rsidR="001F64C2">
        <w:rPr>
          <w:sz w:val="26"/>
          <w:szCs w:val="26"/>
        </w:rPr>
        <w:t>6</w:t>
      </w:r>
      <w:r w:rsidRPr="00297A47">
        <w:rPr>
          <w:sz w:val="26"/>
          <w:szCs w:val="26"/>
        </w:rPr>
        <w:t>]</w:t>
      </w:r>
      <w:r w:rsidRPr="00297A47">
        <w:rPr>
          <w:sz w:val="26"/>
          <w:szCs w:val="26"/>
        </w:rPr>
        <w:tab/>
        <w:t>On the 28</w:t>
      </w:r>
      <w:r w:rsidRPr="00297A47">
        <w:rPr>
          <w:sz w:val="26"/>
          <w:szCs w:val="26"/>
          <w:vertAlign w:val="superscript"/>
        </w:rPr>
        <w:t>th</w:t>
      </w:r>
      <w:r w:rsidRPr="00297A47">
        <w:rPr>
          <w:sz w:val="26"/>
          <w:szCs w:val="26"/>
        </w:rPr>
        <w:t xml:space="preserve"> February 2013 the appellants filed an urgent application directing the first and </w:t>
      </w:r>
      <w:r w:rsidR="00D911E1">
        <w:rPr>
          <w:sz w:val="26"/>
          <w:szCs w:val="26"/>
        </w:rPr>
        <w:t>second respondents</w:t>
      </w:r>
      <w:r w:rsidR="001F64C2">
        <w:rPr>
          <w:sz w:val="26"/>
          <w:szCs w:val="26"/>
        </w:rPr>
        <w:t>,</w:t>
      </w:r>
      <w:r w:rsidR="00D911E1">
        <w:rPr>
          <w:sz w:val="26"/>
          <w:szCs w:val="26"/>
        </w:rPr>
        <w:t xml:space="preserve"> </w:t>
      </w:r>
      <w:r w:rsidRPr="00297A47">
        <w:rPr>
          <w:sz w:val="26"/>
          <w:szCs w:val="26"/>
        </w:rPr>
        <w:t>and failing which</w:t>
      </w:r>
      <w:r w:rsidR="001F64C2">
        <w:rPr>
          <w:sz w:val="26"/>
          <w:szCs w:val="26"/>
        </w:rPr>
        <w:t>,</w:t>
      </w:r>
      <w:r w:rsidRPr="00297A47">
        <w:rPr>
          <w:sz w:val="26"/>
          <w:szCs w:val="26"/>
        </w:rPr>
        <w:t xml:space="preserve"> the Registrar of the High Court be authorised and directed to </w:t>
      </w:r>
      <w:proofErr w:type="gramStart"/>
      <w:r w:rsidRPr="00297A47">
        <w:rPr>
          <w:sz w:val="26"/>
          <w:szCs w:val="26"/>
        </w:rPr>
        <w:t>effect</w:t>
      </w:r>
      <w:proofErr w:type="gramEnd"/>
      <w:r w:rsidRPr="00297A47">
        <w:rPr>
          <w:sz w:val="26"/>
          <w:szCs w:val="26"/>
        </w:rPr>
        <w:t xml:space="preserve"> transfer of the property from the name of the first respondent into the name of the second app</w:t>
      </w:r>
      <w:r w:rsidR="00D911E1">
        <w:rPr>
          <w:sz w:val="26"/>
          <w:szCs w:val="26"/>
        </w:rPr>
        <w:t>el</w:t>
      </w:r>
      <w:r w:rsidRPr="00297A47">
        <w:rPr>
          <w:sz w:val="26"/>
          <w:szCs w:val="26"/>
        </w:rPr>
        <w:t>lant. They further sought an order interdicting and restraining the third and fourth respondent</w:t>
      </w:r>
      <w:r w:rsidR="001F64C2">
        <w:rPr>
          <w:sz w:val="26"/>
          <w:szCs w:val="26"/>
        </w:rPr>
        <w:t>s</w:t>
      </w:r>
      <w:r w:rsidRPr="00297A47">
        <w:rPr>
          <w:sz w:val="26"/>
          <w:szCs w:val="26"/>
        </w:rPr>
        <w:t xml:space="preserve"> </w:t>
      </w:r>
      <w:r w:rsidRPr="00297A47">
        <w:rPr>
          <w:sz w:val="26"/>
          <w:szCs w:val="26"/>
        </w:rPr>
        <w:lastRenderedPageBreak/>
        <w:t>fr</w:t>
      </w:r>
      <w:r w:rsidR="00412D2C">
        <w:rPr>
          <w:sz w:val="26"/>
          <w:szCs w:val="26"/>
        </w:rPr>
        <w:t>o</w:t>
      </w:r>
      <w:r w:rsidRPr="00297A47">
        <w:rPr>
          <w:sz w:val="26"/>
          <w:szCs w:val="26"/>
        </w:rPr>
        <w:t xml:space="preserve">m dealing in any manner with the property pending the transfer or from dealing in any manner with the shares of the first respondent. </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w:t>
      </w:r>
      <w:r w:rsidR="001F64C2">
        <w:rPr>
          <w:sz w:val="26"/>
          <w:szCs w:val="26"/>
        </w:rPr>
        <w:t>7</w:t>
      </w:r>
      <w:r w:rsidRPr="00297A47">
        <w:rPr>
          <w:sz w:val="26"/>
          <w:szCs w:val="26"/>
        </w:rPr>
        <w:t>]</w:t>
      </w:r>
      <w:r w:rsidRPr="00297A47">
        <w:rPr>
          <w:sz w:val="26"/>
          <w:szCs w:val="26"/>
        </w:rPr>
        <w:tab/>
        <w:t>The appellants also sought an order interdicting the third respondent f</w:t>
      </w:r>
      <w:r w:rsidR="00D911E1">
        <w:rPr>
          <w:sz w:val="26"/>
          <w:szCs w:val="26"/>
        </w:rPr>
        <w:t>ro</w:t>
      </w:r>
      <w:r w:rsidRPr="00297A47">
        <w:rPr>
          <w:sz w:val="26"/>
          <w:szCs w:val="26"/>
        </w:rPr>
        <w:t>m transfer</w:t>
      </w:r>
      <w:r w:rsidR="00B501A2">
        <w:rPr>
          <w:sz w:val="26"/>
          <w:szCs w:val="26"/>
        </w:rPr>
        <w:t>ring</w:t>
      </w:r>
      <w:r w:rsidR="001F64C2">
        <w:rPr>
          <w:sz w:val="26"/>
          <w:szCs w:val="26"/>
        </w:rPr>
        <w:t xml:space="preserve"> the property</w:t>
      </w:r>
      <w:r w:rsidRPr="00297A47">
        <w:rPr>
          <w:sz w:val="26"/>
          <w:szCs w:val="26"/>
        </w:rPr>
        <w:t xml:space="preserve"> to any third party other than the second appellant.  </w:t>
      </w:r>
      <w:r w:rsidR="001F64C2">
        <w:rPr>
          <w:sz w:val="26"/>
          <w:szCs w:val="26"/>
        </w:rPr>
        <w:t xml:space="preserve">A rule </w:t>
      </w:r>
      <w:r w:rsidR="001F64C2" w:rsidRPr="001F64C2">
        <w:rPr>
          <w:i/>
          <w:sz w:val="26"/>
          <w:szCs w:val="26"/>
        </w:rPr>
        <w:t>nisi</w:t>
      </w:r>
      <w:r w:rsidR="001F64C2">
        <w:rPr>
          <w:sz w:val="26"/>
          <w:szCs w:val="26"/>
        </w:rPr>
        <w:t xml:space="preserve"> with </w:t>
      </w:r>
      <w:r w:rsidRPr="00297A47">
        <w:rPr>
          <w:sz w:val="26"/>
          <w:szCs w:val="26"/>
        </w:rPr>
        <w:t xml:space="preserve">interim relief </w:t>
      </w:r>
      <w:r w:rsidR="001F64C2">
        <w:rPr>
          <w:sz w:val="26"/>
          <w:szCs w:val="26"/>
        </w:rPr>
        <w:t xml:space="preserve">was subsequently </w:t>
      </w:r>
      <w:r w:rsidRPr="00297A47">
        <w:rPr>
          <w:sz w:val="26"/>
          <w:szCs w:val="26"/>
        </w:rPr>
        <w:t xml:space="preserve">granted </w:t>
      </w:r>
      <w:r w:rsidR="006628C1">
        <w:rPr>
          <w:sz w:val="26"/>
          <w:szCs w:val="26"/>
        </w:rPr>
        <w:t>by the C</w:t>
      </w:r>
      <w:r w:rsidR="006628C1" w:rsidRPr="00297A47">
        <w:rPr>
          <w:sz w:val="26"/>
          <w:szCs w:val="26"/>
        </w:rPr>
        <w:t>ourt</w:t>
      </w:r>
      <w:r w:rsidR="006628C1">
        <w:rPr>
          <w:sz w:val="26"/>
          <w:szCs w:val="26"/>
        </w:rPr>
        <w:t xml:space="preserve"> </w:t>
      </w:r>
      <w:r w:rsidR="006628C1" w:rsidRPr="006628C1">
        <w:rPr>
          <w:i/>
          <w:sz w:val="26"/>
          <w:szCs w:val="26"/>
        </w:rPr>
        <w:t>a quo</w:t>
      </w:r>
      <w:r w:rsidR="006628C1">
        <w:rPr>
          <w:sz w:val="26"/>
          <w:szCs w:val="26"/>
        </w:rPr>
        <w:t xml:space="preserve"> on </w:t>
      </w:r>
      <w:r w:rsidRPr="00297A47">
        <w:rPr>
          <w:sz w:val="26"/>
          <w:szCs w:val="26"/>
        </w:rPr>
        <w:t>the 28</w:t>
      </w:r>
      <w:r w:rsidRPr="00297A47">
        <w:rPr>
          <w:sz w:val="26"/>
          <w:szCs w:val="26"/>
          <w:vertAlign w:val="superscript"/>
        </w:rPr>
        <w:t>th</w:t>
      </w:r>
      <w:r w:rsidRPr="00297A47">
        <w:rPr>
          <w:sz w:val="26"/>
          <w:szCs w:val="26"/>
        </w:rPr>
        <w:t xml:space="preserve"> February 2013</w:t>
      </w:r>
      <w:r w:rsidR="00B501A2">
        <w:rPr>
          <w:sz w:val="26"/>
          <w:szCs w:val="26"/>
        </w:rPr>
        <w:t xml:space="preserve"> on an</w:t>
      </w:r>
      <w:r w:rsidRPr="00297A47">
        <w:rPr>
          <w:sz w:val="26"/>
          <w:szCs w:val="26"/>
        </w:rPr>
        <w:t xml:space="preserve"> ex parte</w:t>
      </w:r>
      <w:r w:rsidR="00B501A2">
        <w:rPr>
          <w:sz w:val="26"/>
          <w:szCs w:val="26"/>
        </w:rPr>
        <w:t xml:space="preserve"> application</w:t>
      </w:r>
      <w:r w:rsidRPr="00297A47">
        <w:rPr>
          <w:sz w:val="26"/>
          <w:szCs w:val="26"/>
        </w:rPr>
        <w:t xml:space="preserve">.  The </w:t>
      </w:r>
      <w:r w:rsidRPr="00297A47">
        <w:rPr>
          <w:i/>
          <w:sz w:val="26"/>
          <w:szCs w:val="26"/>
        </w:rPr>
        <w:t>rule nisi</w:t>
      </w:r>
      <w:r w:rsidRPr="00297A47">
        <w:rPr>
          <w:sz w:val="26"/>
          <w:szCs w:val="26"/>
        </w:rPr>
        <w:t xml:space="preserve"> was returnable on the 15</w:t>
      </w:r>
      <w:r w:rsidRPr="00297A47">
        <w:rPr>
          <w:sz w:val="26"/>
          <w:szCs w:val="26"/>
          <w:vertAlign w:val="superscript"/>
        </w:rPr>
        <w:t>th</w:t>
      </w:r>
      <w:r w:rsidRPr="00297A47">
        <w:rPr>
          <w:sz w:val="26"/>
          <w:szCs w:val="26"/>
        </w:rPr>
        <w:t xml:space="preserve"> March 2015.  The appellants further sought an order for costs against the first and second respondents.</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w:t>
      </w:r>
      <w:r w:rsidR="006628C1">
        <w:rPr>
          <w:sz w:val="26"/>
          <w:szCs w:val="26"/>
        </w:rPr>
        <w:t>8</w:t>
      </w:r>
      <w:r w:rsidRPr="00297A47">
        <w:rPr>
          <w:sz w:val="26"/>
          <w:szCs w:val="26"/>
        </w:rPr>
        <w:t>]</w:t>
      </w:r>
      <w:r w:rsidRPr="00297A47">
        <w:rPr>
          <w:sz w:val="26"/>
          <w:szCs w:val="26"/>
        </w:rPr>
        <w:tab/>
        <w:t>On the 21</w:t>
      </w:r>
      <w:r w:rsidRPr="00297A47">
        <w:rPr>
          <w:sz w:val="26"/>
          <w:szCs w:val="26"/>
          <w:vertAlign w:val="superscript"/>
        </w:rPr>
        <w:t>st</w:t>
      </w:r>
      <w:r w:rsidRPr="00297A47">
        <w:rPr>
          <w:sz w:val="26"/>
          <w:szCs w:val="26"/>
        </w:rPr>
        <w:t xml:space="preserve"> December 2012 the Swaziland Building Society issued a bank guarantee </w:t>
      </w:r>
      <w:r w:rsidR="00B501A2">
        <w:rPr>
          <w:sz w:val="26"/>
          <w:szCs w:val="26"/>
        </w:rPr>
        <w:t>N</w:t>
      </w:r>
      <w:r w:rsidRPr="00297A47">
        <w:rPr>
          <w:sz w:val="26"/>
          <w:szCs w:val="26"/>
        </w:rPr>
        <w:t>o</w:t>
      </w:r>
      <w:r w:rsidR="00B501A2">
        <w:rPr>
          <w:sz w:val="26"/>
          <w:szCs w:val="26"/>
        </w:rPr>
        <w:t>.</w:t>
      </w:r>
      <w:r w:rsidRPr="00297A47">
        <w:rPr>
          <w:sz w:val="26"/>
          <w:szCs w:val="26"/>
        </w:rPr>
        <w:t xml:space="preserve"> 184/2013 in terms of </w:t>
      </w:r>
      <w:r>
        <w:rPr>
          <w:sz w:val="26"/>
          <w:szCs w:val="26"/>
        </w:rPr>
        <w:t>C</w:t>
      </w:r>
      <w:r w:rsidRPr="00297A47">
        <w:rPr>
          <w:sz w:val="26"/>
          <w:szCs w:val="26"/>
        </w:rPr>
        <w:t xml:space="preserve">lause One of the agreement for the full amount of the purchase price.  It is common cause that the </w:t>
      </w:r>
      <w:r w:rsidR="00D911E1">
        <w:rPr>
          <w:sz w:val="26"/>
          <w:szCs w:val="26"/>
        </w:rPr>
        <w:t xml:space="preserve">first </w:t>
      </w:r>
      <w:r w:rsidRPr="00297A47">
        <w:rPr>
          <w:sz w:val="26"/>
          <w:szCs w:val="26"/>
        </w:rPr>
        <w:t xml:space="preserve">appellant is a businessman leasing property Lot No. 463 in Matsapha, where he conducts his business.  The property that </w:t>
      </w:r>
      <w:r w:rsidR="006B661A">
        <w:rPr>
          <w:sz w:val="26"/>
          <w:szCs w:val="26"/>
        </w:rPr>
        <w:t>is a subject-matter of the contract</w:t>
      </w:r>
      <w:r w:rsidRPr="00297A47">
        <w:rPr>
          <w:sz w:val="26"/>
          <w:szCs w:val="26"/>
        </w:rPr>
        <w:t xml:space="preserve"> is Lot No. 464 in Matsapha, which is adjacent to where </w:t>
      </w:r>
      <w:r w:rsidR="006B661A">
        <w:rPr>
          <w:sz w:val="26"/>
          <w:szCs w:val="26"/>
        </w:rPr>
        <w:t>t</w:t>
      </w:r>
      <w:r w:rsidRPr="00297A47">
        <w:rPr>
          <w:sz w:val="26"/>
          <w:szCs w:val="26"/>
        </w:rPr>
        <w:t xml:space="preserve">he </w:t>
      </w:r>
      <w:r w:rsidR="006B661A">
        <w:rPr>
          <w:sz w:val="26"/>
          <w:szCs w:val="26"/>
        </w:rPr>
        <w:t xml:space="preserve">first appellant </w:t>
      </w:r>
      <w:r w:rsidRPr="00297A47">
        <w:rPr>
          <w:sz w:val="26"/>
          <w:szCs w:val="26"/>
        </w:rPr>
        <w:t>conduct</w:t>
      </w:r>
      <w:r w:rsidR="006628C1">
        <w:rPr>
          <w:sz w:val="26"/>
          <w:szCs w:val="26"/>
        </w:rPr>
        <w:t xml:space="preserve">s </w:t>
      </w:r>
      <w:r w:rsidRPr="00297A47">
        <w:rPr>
          <w:sz w:val="26"/>
          <w:szCs w:val="26"/>
        </w:rPr>
        <w:t>his business.</w:t>
      </w:r>
    </w:p>
    <w:p w:rsidR="006E0258" w:rsidRPr="00297A47" w:rsidRDefault="006E0258" w:rsidP="006E0258">
      <w:pPr>
        <w:spacing w:line="480" w:lineRule="auto"/>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w:t>
      </w:r>
      <w:r w:rsidR="006628C1">
        <w:rPr>
          <w:sz w:val="26"/>
          <w:szCs w:val="26"/>
        </w:rPr>
        <w:t>9</w:t>
      </w:r>
      <w:r w:rsidRPr="00297A47">
        <w:rPr>
          <w:sz w:val="26"/>
          <w:szCs w:val="26"/>
        </w:rPr>
        <w:t>]</w:t>
      </w:r>
      <w:r w:rsidRPr="00297A47">
        <w:rPr>
          <w:sz w:val="26"/>
          <w:szCs w:val="26"/>
        </w:rPr>
        <w:tab/>
        <w:t xml:space="preserve">It is not in dispute that upon the conclusion of the contract, the first appellant lent and advanced to the second respondent a sum of E150 000.00 (one hundred and fifty thousand </w:t>
      </w:r>
      <w:proofErr w:type="spellStart"/>
      <w:r w:rsidRPr="00297A47">
        <w:rPr>
          <w:sz w:val="26"/>
          <w:szCs w:val="26"/>
        </w:rPr>
        <w:t>emalangeni</w:t>
      </w:r>
      <w:proofErr w:type="spellEnd"/>
      <w:r w:rsidRPr="00297A47">
        <w:rPr>
          <w:sz w:val="26"/>
          <w:szCs w:val="26"/>
        </w:rPr>
        <w:t xml:space="preserve">) at his own instance in order to alleviate </w:t>
      </w:r>
      <w:r w:rsidR="006628C1">
        <w:rPr>
          <w:sz w:val="26"/>
          <w:szCs w:val="26"/>
        </w:rPr>
        <w:t>the</w:t>
      </w:r>
      <w:r w:rsidR="006B661A">
        <w:rPr>
          <w:sz w:val="26"/>
          <w:szCs w:val="26"/>
        </w:rPr>
        <w:t xml:space="preserve"> </w:t>
      </w:r>
      <w:r w:rsidRPr="00297A47">
        <w:rPr>
          <w:sz w:val="26"/>
          <w:szCs w:val="26"/>
        </w:rPr>
        <w:t>financial problems</w:t>
      </w:r>
      <w:r w:rsidR="006628C1">
        <w:rPr>
          <w:sz w:val="26"/>
          <w:szCs w:val="26"/>
        </w:rPr>
        <w:t xml:space="preserve"> of the first respondent</w:t>
      </w:r>
      <w:r w:rsidRPr="00297A47">
        <w:rPr>
          <w:sz w:val="26"/>
          <w:szCs w:val="26"/>
        </w:rPr>
        <w:t xml:space="preserve">.  In turn the second respondent pledged Lot 379 </w:t>
      </w:r>
      <w:proofErr w:type="spellStart"/>
      <w:r w:rsidRPr="00297A47">
        <w:rPr>
          <w:sz w:val="26"/>
          <w:szCs w:val="26"/>
        </w:rPr>
        <w:t>Tubungu</w:t>
      </w:r>
      <w:proofErr w:type="spellEnd"/>
      <w:r w:rsidRPr="00297A47">
        <w:rPr>
          <w:sz w:val="26"/>
          <w:szCs w:val="26"/>
        </w:rPr>
        <w:t xml:space="preserve"> Estate</w:t>
      </w:r>
      <w:r w:rsidR="000606A5">
        <w:rPr>
          <w:sz w:val="26"/>
          <w:szCs w:val="26"/>
        </w:rPr>
        <w:t xml:space="preserve"> to the appellants</w:t>
      </w:r>
      <w:r w:rsidRPr="00297A47">
        <w:rPr>
          <w:sz w:val="26"/>
          <w:szCs w:val="26"/>
        </w:rPr>
        <w:t xml:space="preserve">.  The loan transaction </w:t>
      </w:r>
      <w:r w:rsidR="006628C1">
        <w:rPr>
          <w:sz w:val="26"/>
          <w:szCs w:val="26"/>
        </w:rPr>
        <w:t>wa</w:t>
      </w:r>
      <w:r w:rsidRPr="00297A47">
        <w:rPr>
          <w:sz w:val="26"/>
          <w:szCs w:val="26"/>
        </w:rPr>
        <w:t xml:space="preserve">s </w:t>
      </w:r>
      <w:r w:rsidRPr="00297A47">
        <w:rPr>
          <w:sz w:val="26"/>
          <w:szCs w:val="26"/>
        </w:rPr>
        <w:lastRenderedPageBreak/>
        <w:t xml:space="preserve">independent from the contract of </w:t>
      </w:r>
      <w:r w:rsidR="000606A5">
        <w:rPr>
          <w:sz w:val="26"/>
          <w:szCs w:val="26"/>
        </w:rPr>
        <w:t xml:space="preserve">sale of </w:t>
      </w:r>
      <w:r w:rsidRPr="00297A47">
        <w:rPr>
          <w:sz w:val="26"/>
          <w:szCs w:val="26"/>
        </w:rPr>
        <w:t xml:space="preserve">the property </w:t>
      </w:r>
      <w:r w:rsidR="000606A5">
        <w:rPr>
          <w:sz w:val="26"/>
          <w:szCs w:val="26"/>
        </w:rPr>
        <w:t xml:space="preserve">concluded </w:t>
      </w:r>
      <w:r w:rsidR="006628C1">
        <w:rPr>
          <w:sz w:val="26"/>
          <w:szCs w:val="26"/>
        </w:rPr>
        <w:t>between</w:t>
      </w:r>
      <w:r w:rsidRPr="00297A47">
        <w:rPr>
          <w:sz w:val="26"/>
          <w:szCs w:val="26"/>
        </w:rPr>
        <w:t xml:space="preserve"> the parties.   </w:t>
      </w:r>
      <w:r w:rsidR="00D44710">
        <w:rPr>
          <w:sz w:val="26"/>
          <w:szCs w:val="26"/>
        </w:rPr>
        <w:t>T</w:t>
      </w:r>
      <w:r w:rsidR="006628C1">
        <w:rPr>
          <w:sz w:val="26"/>
          <w:szCs w:val="26"/>
        </w:rPr>
        <w:t>he</w:t>
      </w:r>
      <w:r w:rsidRPr="00297A47">
        <w:rPr>
          <w:sz w:val="26"/>
          <w:szCs w:val="26"/>
        </w:rPr>
        <w:t xml:space="preserve"> loan </w:t>
      </w:r>
      <w:r w:rsidR="00D44710">
        <w:rPr>
          <w:sz w:val="26"/>
          <w:szCs w:val="26"/>
        </w:rPr>
        <w:t>amount</w:t>
      </w:r>
      <w:r w:rsidRPr="00297A47">
        <w:rPr>
          <w:sz w:val="26"/>
          <w:szCs w:val="26"/>
        </w:rPr>
        <w:t xml:space="preserve"> has since been repaid.</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6628C1">
        <w:rPr>
          <w:sz w:val="26"/>
          <w:szCs w:val="26"/>
        </w:rPr>
        <w:t>0</w:t>
      </w:r>
      <w:r w:rsidRPr="00297A47">
        <w:rPr>
          <w:sz w:val="26"/>
          <w:szCs w:val="26"/>
        </w:rPr>
        <w:t>]</w:t>
      </w:r>
      <w:r w:rsidRPr="00297A47">
        <w:rPr>
          <w:sz w:val="26"/>
          <w:szCs w:val="26"/>
        </w:rPr>
        <w:tab/>
        <w:t xml:space="preserve">The appointed </w:t>
      </w:r>
      <w:proofErr w:type="spellStart"/>
      <w:r w:rsidRPr="00297A47">
        <w:rPr>
          <w:sz w:val="26"/>
          <w:szCs w:val="26"/>
        </w:rPr>
        <w:t>Conveyancer</w:t>
      </w:r>
      <w:proofErr w:type="spellEnd"/>
      <w:r w:rsidR="000606A5">
        <w:rPr>
          <w:sz w:val="26"/>
          <w:szCs w:val="26"/>
        </w:rPr>
        <w:t>,</w:t>
      </w:r>
      <w:r w:rsidRPr="00297A47">
        <w:rPr>
          <w:sz w:val="26"/>
          <w:szCs w:val="26"/>
        </w:rPr>
        <w:t xml:space="preserve"> Attorney </w:t>
      </w:r>
      <w:proofErr w:type="spellStart"/>
      <w:r w:rsidRPr="00297A47">
        <w:rPr>
          <w:sz w:val="26"/>
          <w:szCs w:val="26"/>
        </w:rPr>
        <w:t>Nkosinathi</w:t>
      </w:r>
      <w:proofErr w:type="spellEnd"/>
      <w:r w:rsidRPr="00297A47">
        <w:rPr>
          <w:sz w:val="26"/>
          <w:szCs w:val="26"/>
        </w:rPr>
        <w:t xml:space="preserve"> Manzini</w:t>
      </w:r>
      <w:r w:rsidR="000606A5">
        <w:rPr>
          <w:sz w:val="26"/>
          <w:szCs w:val="26"/>
        </w:rPr>
        <w:t>,</w:t>
      </w:r>
      <w:r w:rsidRPr="00297A47">
        <w:rPr>
          <w:sz w:val="26"/>
          <w:szCs w:val="26"/>
        </w:rPr>
        <w:t xml:space="preserve"> duly prepared the transfer document</w:t>
      </w:r>
      <w:r w:rsidR="000606A5">
        <w:rPr>
          <w:sz w:val="26"/>
          <w:szCs w:val="26"/>
        </w:rPr>
        <w:t>s</w:t>
      </w:r>
      <w:r w:rsidRPr="00297A47">
        <w:rPr>
          <w:sz w:val="26"/>
          <w:szCs w:val="26"/>
        </w:rPr>
        <w:t xml:space="preserve"> soon after receiving the bank guarantee; and, he invited the second respondent and first appellant to sign the documents.   The first appellant signed the transfer documents in January 2013; however, the second respondent refused to sign the transfer documents </w:t>
      </w:r>
      <w:r w:rsidR="006628C1">
        <w:rPr>
          <w:sz w:val="26"/>
          <w:szCs w:val="26"/>
        </w:rPr>
        <w:t xml:space="preserve">allegedly </w:t>
      </w:r>
      <w:r w:rsidRPr="00297A47">
        <w:rPr>
          <w:sz w:val="26"/>
          <w:szCs w:val="26"/>
        </w:rPr>
        <w:t xml:space="preserve">on the basis of an advice received from his financial advisors that he should not sell the property.  It is not in dispute that </w:t>
      </w:r>
      <w:r w:rsidR="006628C1">
        <w:rPr>
          <w:sz w:val="26"/>
          <w:szCs w:val="26"/>
        </w:rPr>
        <w:t xml:space="preserve">it is </w:t>
      </w:r>
      <w:r w:rsidRPr="00297A47">
        <w:rPr>
          <w:sz w:val="26"/>
          <w:szCs w:val="26"/>
        </w:rPr>
        <w:t xml:space="preserve">the second respondent </w:t>
      </w:r>
      <w:r w:rsidR="006628C1">
        <w:rPr>
          <w:sz w:val="26"/>
          <w:szCs w:val="26"/>
        </w:rPr>
        <w:t>who</w:t>
      </w:r>
      <w:r w:rsidRPr="00297A47">
        <w:rPr>
          <w:sz w:val="26"/>
          <w:szCs w:val="26"/>
        </w:rPr>
        <w:t xml:space="preserve"> initially offered to sell the property to the first appellant citing financial meltdown of his company, and that the first appellant expressed interest in the property leading ultimately </w:t>
      </w:r>
      <w:r w:rsidR="00D44710">
        <w:rPr>
          <w:sz w:val="26"/>
          <w:szCs w:val="26"/>
        </w:rPr>
        <w:t xml:space="preserve">to </w:t>
      </w:r>
      <w:r w:rsidRPr="00297A47">
        <w:rPr>
          <w:sz w:val="26"/>
          <w:szCs w:val="26"/>
        </w:rPr>
        <w:t>the conclusion of the contract of sale.</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6628C1">
        <w:rPr>
          <w:sz w:val="26"/>
          <w:szCs w:val="26"/>
        </w:rPr>
        <w:t>1</w:t>
      </w:r>
      <w:r w:rsidRPr="00297A47">
        <w:rPr>
          <w:sz w:val="26"/>
          <w:szCs w:val="26"/>
        </w:rPr>
        <w:t>]</w:t>
      </w:r>
      <w:r w:rsidRPr="00297A47">
        <w:rPr>
          <w:sz w:val="26"/>
          <w:szCs w:val="26"/>
        </w:rPr>
        <w:tab/>
        <w:t>It is common cause that the first appellant paid a deposit of E312 500.00</w:t>
      </w:r>
      <w:r w:rsidR="00C7306A">
        <w:rPr>
          <w:sz w:val="26"/>
          <w:szCs w:val="26"/>
        </w:rPr>
        <w:t xml:space="preserve"> </w:t>
      </w:r>
      <w:r w:rsidRPr="00297A47">
        <w:rPr>
          <w:sz w:val="26"/>
          <w:szCs w:val="26"/>
        </w:rPr>
        <w:t xml:space="preserve">(three hundred and twelve thousand five hundred </w:t>
      </w:r>
      <w:proofErr w:type="spellStart"/>
      <w:r w:rsidRPr="00297A47">
        <w:rPr>
          <w:sz w:val="26"/>
          <w:szCs w:val="26"/>
        </w:rPr>
        <w:t>emalangeni</w:t>
      </w:r>
      <w:proofErr w:type="spellEnd"/>
      <w:r w:rsidRPr="00297A47">
        <w:rPr>
          <w:sz w:val="26"/>
          <w:szCs w:val="26"/>
        </w:rPr>
        <w:t xml:space="preserve">) to the Swaziland Building Society prior to the </w:t>
      </w:r>
      <w:r w:rsidR="000606A5">
        <w:rPr>
          <w:sz w:val="26"/>
          <w:szCs w:val="26"/>
        </w:rPr>
        <w:t>release</w:t>
      </w:r>
      <w:r w:rsidRPr="00297A47">
        <w:rPr>
          <w:sz w:val="26"/>
          <w:szCs w:val="26"/>
        </w:rPr>
        <w:t xml:space="preserve"> of the bank guarantee by the bank.   In addition the first appellant had paid transfer costs to the appointed </w:t>
      </w:r>
      <w:proofErr w:type="spellStart"/>
      <w:r w:rsidRPr="00297A47">
        <w:rPr>
          <w:sz w:val="26"/>
          <w:szCs w:val="26"/>
        </w:rPr>
        <w:t>conveyancer</w:t>
      </w:r>
      <w:proofErr w:type="spellEnd"/>
      <w:r w:rsidRPr="00297A47">
        <w:rPr>
          <w:sz w:val="26"/>
          <w:szCs w:val="26"/>
        </w:rPr>
        <w:t xml:space="preserve"> in anticipation of the transfer of the ownership of the property from the first respondent to the second app</w:t>
      </w:r>
      <w:r w:rsidR="006628C1">
        <w:rPr>
          <w:sz w:val="26"/>
          <w:szCs w:val="26"/>
        </w:rPr>
        <w:t>e</w:t>
      </w:r>
      <w:r w:rsidRPr="00297A47">
        <w:rPr>
          <w:sz w:val="26"/>
          <w:szCs w:val="26"/>
        </w:rPr>
        <w:t>l</w:t>
      </w:r>
      <w:r w:rsidR="006628C1">
        <w:rPr>
          <w:sz w:val="26"/>
          <w:szCs w:val="26"/>
        </w:rPr>
        <w:t>l</w:t>
      </w:r>
      <w:r w:rsidRPr="00297A47">
        <w:rPr>
          <w:sz w:val="26"/>
          <w:szCs w:val="26"/>
        </w:rPr>
        <w:t>ant.</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45698E">
        <w:rPr>
          <w:sz w:val="26"/>
          <w:szCs w:val="26"/>
        </w:rPr>
        <w:t>2</w:t>
      </w:r>
      <w:r w:rsidRPr="00297A47">
        <w:rPr>
          <w:sz w:val="26"/>
          <w:szCs w:val="26"/>
        </w:rPr>
        <w:t>]</w:t>
      </w:r>
      <w:r w:rsidRPr="00297A47">
        <w:rPr>
          <w:sz w:val="26"/>
          <w:szCs w:val="26"/>
        </w:rPr>
        <w:tab/>
        <w:t>The application was opposed by the first and second respondent</w:t>
      </w:r>
      <w:r w:rsidR="000606A5">
        <w:rPr>
          <w:sz w:val="26"/>
          <w:szCs w:val="26"/>
        </w:rPr>
        <w:t>s</w:t>
      </w:r>
      <w:r w:rsidRPr="00297A47">
        <w:rPr>
          <w:sz w:val="26"/>
          <w:szCs w:val="26"/>
        </w:rPr>
        <w:t>.   In their Opposing affidavit the</w:t>
      </w:r>
      <w:r w:rsidR="0045698E">
        <w:rPr>
          <w:sz w:val="26"/>
          <w:szCs w:val="26"/>
        </w:rPr>
        <w:t>y</w:t>
      </w:r>
      <w:r w:rsidRPr="00297A47">
        <w:rPr>
          <w:sz w:val="26"/>
          <w:szCs w:val="26"/>
        </w:rPr>
        <w:t xml:space="preserve"> raised three point</w:t>
      </w:r>
      <w:r w:rsidR="0045698E">
        <w:rPr>
          <w:sz w:val="26"/>
          <w:szCs w:val="26"/>
        </w:rPr>
        <w:t>s</w:t>
      </w:r>
      <w:r w:rsidRPr="00297A47">
        <w:rPr>
          <w:sz w:val="26"/>
          <w:szCs w:val="26"/>
        </w:rPr>
        <w:t xml:space="preserve"> of law; firstly, that the application </w:t>
      </w:r>
      <w:r w:rsidRPr="00297A47">
        <w:rPr>
          <w:sz w:val="26"/>
          <w:szCs w:val="26"/>
        </w:rPr>
        <w:lastRenderedPageBreak/>
        <w:t xml:space="preserve">does not disclose a cause of action in so far as the relief sought would result in a contravention of section 15 of the Deeds Registry Act.   Secondly, that the application does not disclose a cause of action in so far as it seeks to enforce the provisions of an agreement that is null and </w:t>
      </w:r>
      <w:r w:rsidRPr="006D6CD9">
        <w:rPr>
          <w:sz w:val="26"/>
          <w:szCs w:val="26"/>
        </w:rPr>
        <w:t>void</w:t>
      </w:r>
      <w:r w:rsidRPr="00297A47">
        <w:rPr>
          <w:i/>
          <w:sz w:val="26"/>
          <w:szCs w:val="26"/>
        </w:rPr>
        <w:t xml:space="preserve"> ab initio</w:t>
      </w:r>
      <w:r w:rsidRPr="00297A47">
        <w:rPr>
          <w:sz w:val="26"/>
          <w:szCs w:val="26"/>
        </w:rPr>
        <w:t>.  Thirdly,</w:t>
      </w:r>
      <w:r w:rsidR="0045698E">
        <w:rPr>
          <w:sz w:val="26"/>
          <w:szCs w:val="26"/>
        </w:rPr>
        <w:t xml:space="preserve"> that</w:t>
      </w:r>
      <w:r w:rsidRPr="00297A47">
        <w:rPr>
          <w:sz w:val="26"/>
          <w:szCs w:val="26"/>
        </w:rPr>
        <w:t xml:space="preserve"> the agreement </w:t>
      </w:r>
      <w:r w:rsidR="006D6CD9">
        <w:rPr>
          <w:sz w:val="26"/>
          <w:szCs w:val="26"/>
        </w:rPr>
        <w:t xml:space="preserve"> </w:t>
      </w:r>
      <w:r w:rsidRPr="00297A47">
        <w:rPr>
          <w:sz w:val="26"/>
          <w:szCs w:val="26"/>
        </w:rPr>
        <w:t xml:space="preserve">being </w:t>
      </w:r>
      <w:r w:rsidR="006D6CD9">
        <w:rPr>
          <w:sz w:val="26"/>
          <w:szCs w:val="26"/>
        </w:rPr>
        <w:t xml:space="preserve"> </w:t>
      </w:r>
      <w:r w:rsidRPr="00297A47">
        <w:rPr>
          <w:sz w:val="26"/>
          <w:szCs w:val="26"/>
        </w:rPr>
        <w:t xml:space="preserve">null </w:t>
      </w:r>
      <w:r w:rsidR="006D6CD9">
        <w:rPr>
          <w:sz w:val="26"/>
          <w:szCs w:val="26"/>
        </w:rPr>
        <w:t xml:space="preserve"> </w:t>
      </w:r>
      <w:r w:rsidRPr="00297A47">
        <w:rPr>
          <w:sz w:val="26"/>
          <w:szCs w:val="26"/>
        </w:rPr>
        <w:t xml:space="preserve">and </w:t>
      </w:r>
      <w:r w:rsidR="006D6CD9">
        <w:rPr>
          <w:sz w:val="26"/>
          <w:szCs w:val="26"/>
        </w:rPr>
        <w:t xml:space="preserve"> </w:t>
      </w:r>
      <w:r w:rsidRPr="00297A47">
        <w:rPr>
          <w:sz w:val="26"/>
          <w:szCs w:val="26"/>
        </w:rPr>
        <w:t xml:space="preserve">void </w:t>
      </w:r>
      <w:r w:rsidR="0045698E" w:rsidRPr="00297A47">
        <w:rPr>
          <w:i/>
          <w:sz w:val="26"/>
          <w:szCs w:val="26"/>
        </w:rPr>
        <w:t>ab initio</w:t>
      </w:r>
      <w:r w:rsidR="006D6CD9">
        <w:rPr>
          <w:sz w:val="26"/>
          <w:szCs w:val="26"/>
        </w:rPr>
        <w:t xml:space="preserve"> </w:t>
      </w:r>
      <w:r w:rsidRPr="00297A47">
        <w:rPr>
          <w:sz w:val="26"/>
          <w:szCs w:val="26"/>
        </w:rPr>
        <w:t xml:space="preserve">in </w:t>
      </w:r>
      <w:r w:rsidR="006D6CD9">
        <w:rPr>
          <w:sz w:val="26"/>
          <w:szCs w:val="26"/>
        </w:rPr>
        <w:t xml:space="preserve"> </w:t>
      </w:r>
      <w:r w:rsidRPr="00297A47">
        <w:rPr>
          <w:sz w:val="26"/>
          <w:szCs w:val="26"/>
        </w:rPr>
        <w:t xml:space="preserve">so </w:t>
      </w:r>
      <w:r w:rsidR="006D6CD9">
        <w:rPr>
          <w:sz w:val="26"/>
          <w:szCs w:val="26"/>
        </w:rPr>
        <w:t xml:space="preserve"> </w:t>
      </w:r>
      <w:r w:rsidRPr="00297A47">
        <w:rPr>
          <w:sz w:val="26"/>
          <w:szCs w:val="26"/>
        </w:rPr>
        <w:t>far</w:t>
      </w:r>
      <w:r w:rsidR="006D6CD9">
        <w:rPr>
          <w:sz w:val="26"/>
          <w:szCs w:val="26"/>
        </w:rPr>
        <w:t xml:space="preserve"> </w:t>
      </w:r>
      <w:r w:rsidRPr="00297A47">
        <w:rPr>
          <w:sz w:val="26"/>
          <w:szCs w:val="26"/>
        </w:rPr>
        <w:t xml:space="preserve"> as </w:t>
      </w:r>
      <w:r w:rsidR="006D6CD9">
        <w:rPr>
          <w:sz w:val="26"/>
          <w:szCs w:val="26"/>
        </w:rPr>
        <w:t xml:space="preserve"> </w:t>
      </w:r>
      <w:r w:rsidRPr="00297A47">
        <w:rPr>
          <w:sz w:val="26"/>
          <w:szCs w:val="26"/>
        </w:rPr>
        <w:t xml:space="preserve">it </w:t>
      </w:r>
      <w:r w:rsidR="006D6CD9">
        <w:rPr>
          <w:sz w:val="26"/>
          <w:szCs w:val="26"/>
        </w:rPr>
        <w:t xml:space="preserve"> </w:t>
      </w:r>
      <w:r w:rsidRPr="00297A47">
        <w:rPr>
          <w:sz w:val="26"/>
          <w:szCs w:val="26"/>
        </w:rPr>
        <w:t>purports to pass ownership to a non-existent legal persona</w:t>
      </w:r>
      <w:r w:rsidR="0045698E">
        <w:rPr>
          <w:sz w:val="26"/>
          <w:szCs w:val="26"/>
        </w:rPr>
        <w:t>,</w:t>
      </w:r>
      <w:r w:rsidRPr="00297A47">
        <w:rPr>
          <w:sz w:val="26"/>
          <w:szCs w:val="26"/>
        </w:rPr>
        <w:t xml:space="preserve"> alternatively, the deed of sale is null and </w:t>
      </w:r>
      <w:r w:rsidRPr="006D6CD9">
        <w:rPr>
          <w:sz w:val="26"/>
          <w:szCs w:val="26"/>
        </w:rPr>
        <w:t>void</w:t>
      </w:r>
      <w:r w:rsidRPr="00297A47">
        <w:rPr>
          <w:i/>
          <w:sz w:val="26"/>
          <w:szCs w:val="26"/>
        </w:rPr>
        <w:t xml:space="preserve"> ab initio</w:t>
      </w:r>
      <w:r w:rsidRPr="00297A47">
        <w:rPr>
          <w:sz w:val="26"/>
          <w:szCs w:val="26"/>
        </w:rPr>
        <w:t xml:space="preserve"> in so far as it purports to pass ownership in immovable property to a person in a representative capacity</w:t>
      </w:r>
      <w:r w:rsidR="0045698E">
        <w:rPr>
          <w:sz w:val="26"/>
          <w:szCs w:val="26"/>
        </w:rPr>
        <w:t>,</w:t>
      </w:r>
      <w:r w:rsidRPr="00297A47">
        <w:rPr>
          <w:sz w:val="26"/>
          <w:szCs w:val="26"/>
        </w:rPr>
        <w:t xml:space="preserve"> </w:t>
      </w:r>
      <w:r w:rsidR="0045698E">
        <w:rPr>
          <w:sz w:val="26"/>
          <w:szCs w:val="26"/>
        </w:rPr>
        <w:t>it</w:t>
      </w:r>
      <w:r w:rsidRPr="00297A47">
        <w:rPr>
          <w:sz w:val="26"/>
          <w:szCs w:val="26"/>
        </w:rPr>
        <w:t xml:space="preserve"> is prohibited by law.</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45698E">
        <w:rPr>
          <w:sz w:val="26"/>
          <w:szCs w:val="26"/>
        </w:rPr>
        <w:t>3</w:t>
      </w:r>
      <w:r w:rsidRPr="00297A47">
        <w:rPr>
          <w:sz w:val="26"/>
          <w:szCs w:val="26"/>
        </w:rPr>
        <w:t>]</w:t>
      </w:r>
      <w:r w:rsidRPr="00297A47">
        <w:rPr>
          <w:sz w:val="26"/>
          <w:szCs w:val="26"/>
        </w:rPr>
        <w:tab/>
        <w:t xml:space="preserve">On the merits the respondents </w:t>
      </w:r>
      <w:r w:rsidR="0045698E">
        <w:rPr>
          <w:sz w:val="26"/>
          <w:szCs w:val="26"/>
        </w:rPr>
        <w:t>contend</w:t>
      </w:r>
      <w:r w:rsidRPr="00297A47">
        <w:rPr>
          <w:sz w:val="26"/>
          <w:szCs w:val="26"/>
        </w:rPr>
        <w:t xml:space="preserve"> that </w:t>
      </w:r>
      <w:r w:rsidR="000606A5">
        <w:rPr>
          <w:sz w:val="26"/>
          <w:szCs w:val="26"/>
        </w:rPr>
        <w:t>t</w:t>
      </w:r>
      <w:r w:rsidRPr="00297A47">
        <w:rPr>
          <w:sz w:val="26"/>
          <w:szCs w:val="26"/>
        </w:rPr>
        <w:t>he</w:t>
      </w:r>
      <w:r w:rsidR="000606A5">
        <w:rPr>
          <w:sz w:val="26"/>
          <w:szCs w:val="26"/>
        </w:rPr>
        <w:t>y</w:t>
      </w:r>
      <w:r w:rsidRPr="00297A47">
        <w:rPr>
          <w:sz w:val="26"/>
          <w:szCs w:val="26"/>
        </w:rPr>
        <w:t xml:space="preserve"> ha</w:t>
      </w:r>
      <w:r w:rsidR="000606A5">
        <w:rPr>
          <w:sz w:val="26"/>
          <w:szCs w:val="26"/>
        </w:rPr>
        <w:t>ve</w:t>
      </w:r>
      <w:r w:rsidRPr="00297A47">
        <w:rPr>
          <w:sz w:val="26"/>
          <w:szCs w:val="26"/>
        </w:rPr>
        <w:t xml:space="preserve"> since been advised that the sale is null and </w:t>
      </w:r>
      <w:r w:rsidRPr="006D6CD9">
        <w:rPr>
          <w:sz w:val="26"/>
          <w:szCs w:val="26"/>
        </w:rPr>
        <w:t>void</w:t>
      </w:r>
      <w:r w:rsidRPr="00297A47">
        <w:rPr>
          <w:i/>
          <w:sz w:val="26"/>
          <w:szCs w:val="26"/>
        </w:rPr>
        <w:t xml:space="preserve"> a</w:t>
      </w:r>
      <w:r>
        <w:rPr>
          <w:i/>
          <w:sz w:val="26"/>
          <w:szCs w:val="26"/>
        </w:rPr>
        <w:t>b</w:t>
      </w:r>
      <w:r w:rsidRPr="00297A47">
        <w:rPr>
          <w:i/>
          <w:sz w:val="26"/>
          <w:szCs w:val="26"/>
        </w:rPr>
        <w:t xml:space="preserve"> initio</w:t>
      </w:r>
      <w:r w:rsidRPr="00297A47">
        <w:rPr>
          <w:sz w:val="26"/>
          <w:szCs w:val="26"/>
        </w:rPr>
        <w:t xml:space="preserve"> on the basis that it is not legally enforceable.  They further contend that immovable property may not be sold nor may it be transferred to a trust.  Similarly</w:t>
      </w:r>
      <w:r w:rsidR="000606A5">
        <w:rPr>
          <w:sz w:val="26"/>
          <w:szCs w:val="26"/>
        </w:rPr>
        <w:t>,</w:t>
      </w:r>
      <w:r w:rsidRPr="00297A47">
        <w:rPr>
          <w:sz w:val="26"/>
          <w:szCs w:val="26"/>
        </w:rPr>
        <w:t xml:space="preserve"> </w:t>
      </w:r>
      <w:r w:rsidR="000606A5">
        <w:rPr>
          <w:sz w:val="26"/>
          <w:szCs w:val="26"/>
        </w:rPr>
        <w:t xml:space="preserve">they </w:t>
      </w:r>
      <w:r w:rsidR="0045698E">
        <w:rPr>
          <w:sz w:val="26"/>
          <w:szCs w:val="26"/>
        </w:rPr>
        <w:t>contend</w:t>
      </w:r>
      <w:r w:rsidR="000606A5">
        <w:rPr>
          <w:sz w:val="26"/>
          <w:szCs w:val="26"/>
        </w:rPr>
        <w:t xml:space="preserve"> </w:t>
      </w:r>
      <w:r w:rsidRPr="00297A47">
        <w:rPr>
          <w:sz w:val="26"/>
          <w:szCs w:val="26"/>
        </w:rPr>
        <w:t xml:space="preserve">that ownership may not pass to a person in a </w:t>
      </w:r>
      <w:r w:rsidR="000606A5" w:rsidRPr="00297A47">
        <w:rPr>
          <w:sz w:val="26"/>
          <w:szCs w:val="26"/>
        </w:rPr>
        <w:t>representative capacity</w:t>
      </w:r>
      <w:r w:rsidRPr="00297A47">
        <w:rPr>
          <w:sz w:val="26"/>
          <w:szCs w:val="26"/>
        </w:rPr>
        <w:t xml:space="preserve">. </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45698E">
        <w:rPr>
          <w:sz w:val="26"/>
          <w:szCs w:val="26"/>
        </w:rPr>
        <w:t>4</w:t>
      </w:r>
      <w:r w:rsidRPr="00297A47">
        <w:rPr>
          <w:sz w:val="26"/>
          <w:szCs w:val="26"/>
        </w:rPr>
        <w:t>]</w:t>
      </w:r>
      <w:r w:rsidRPr="00297A47">
        <w:rPr>
          <w:sz w:val="26"/>
          <w:szCs w:val="26"/>
        </w:rPr>
        <w:tab/>
        <w:t xml:space="preserve">The respondents concede that in June 2012 and </w:t>
      </w:r>
      <w:proofErr w:type="gramStart"/>
      <w:r w:rsidRPr="00297A47">
        <w:rPr>
          <w:sz w:val="26"/>
          <w:szCs w:val="26"/>
        </w:rPr>
        <w:t>preceding</w:t>
      </w:r>
      <w:proofErr w:type="gramEnd"/>
      <w:r w:rsidRPr="00297A47">
        <w:rPr>
          <w:sz w:val="26"/>
          <w:szCs w:val="26"/>
        </w:rPr>
        <w:t xml:space="preserve"> months, the first respondent was experiencing severe cash flow problems and could not meet its financial obligations</w:t>
      </w:r>
      <w:r w:rsidR="000606A5">
        <w:rPr>
          <w:sz w:val="26"/>
          <w:szCs w:val="26"/>
        </w:rPr>
        <w:t>;</w:t>
      </w:r>
      <w:r w:rsidRPr="00297A47">
        <w:rPr>
          <w:sz w:val="26"/>
          <w:szCs w:val="26"/>
        </w:rPr>
        <w:t xml:space="preserve"> hence, it resolved </w:t>
      </w:r>
      <w:r w:rsidR="000606A5">
        <w:rPr>
          <w:sz w:val="26"/>
          <w:szCs w:val="26"/>
        </w:rPr>
        <w:t xml:space="preserve">to </w:t>
      </w:r>
      <w:r w:rsidRPr="00297A47">
        <w:rPr>
          <w:sz w:val="26"/>
          <w:szCs w:val="26"/>
        </w:rPr>
        <w:t>sell the property to raise the much needed capital.  At the same time</w:t>
      </w:r>
      <w:r w:rsidR="000606A5">
        <w:rPr>
          <w:sz w:val="26"/>
          <w:szCs w:val="26"/>
        </w:rPr>
        <w:t>,</w:t>
      </w:r>
      <w:r w:rsidRPr="00297A47">
        <w:rPr>
          <w:sz w:val="26"/>
          <w:szCs w:val="26"/>
        </w:rPr>
        <w:t xml:space="preserve"> the first respondent’s trust had been attached in execution of a judgment in South Africa; </w:t>
      </w:r>
      <w:r w:rsidR="000606A5">
        <w:rPr>
          <w:sz w:val="26"/>
          <w:szCs w:val="26"/>
        </w:rPr>
        <w:t xml:space="preserve">and, </w:t>
      </w:r>
      <w:r w:rsidRPr="00297A47">
        <w:rPr>
          <w:sz w:val="26"/>
          <w:szCs w:val="26"/>
        </w:rPr>
        <w:t xml:space="preserve">an amount of E150 000.00 (one hundred and fifty thousand </w:t>
      </w:r>
      <w:proofErr w:type="spellStart"/>
      <w:r w:rsidRPr="00297A47">
        <w:rPr>
          <w:sz w:val="26"/>
          <w:szCs w:val="26"/>
        </w:rPr>
        <w:t>emalangeni</w:t>
      </w:r>
      <w:proofErr w:type="spellEnd"/>
      <w:r w:rsidRPr="00297A47">
        <w:rPr>
          <w:sz w:val="26"/>
          <w:szCs w:val="26"/>
        </w:rPr>
        <w:t>) was required to salvage the truck f</w:t>
      </w:r>
      <w:r w:rsidR="000606A5">
        <w:rPr>
          <w:sz w:val="26"/>
          <w:szCs w:val="26"/>
        </w:rPr>
        <w:t>ro</w:t>
      </w:r>
      <w:r w:rsidRPr="00297A47">
        <w:rPr>
          <w:sz w:val="26"/>
          <w:szCs w:val="26"/>
        </w:rPr>
        <w:t xml:space="preserve">m being sold by public auction.  It is against this background that the first respondent sought and obtained a loan of E150 000.00 (one hundred and fifty </w:t>
      </w:r>
      <w:r w:rsidRPr="00297A47">
        <w:rPr>
          <w:sz w:val="26"/>
          <w:szCs w:val="26"/>
        </w:rPr>
        <w:lastRenderedPageBreak/>
        <w:t xml:space="preserve">thousand </w:t>
      </w:r>
      <w:proofErr w:type="spellStart"/>
      <w:r w:rsidRPr="00297A47">
        <w:rPr>
          <w:sz w:val="26"/>
          <w:szCs w:val="26"/>
        </w:rPr>
        <w:t>emalangeni</w:t>
      </w:r>
      <w:proofErr w:type="spellEnd"/>
      <w:r w:rsidRPr="00297A47">
        <w:rPr>
          <w:sz w:val="26"/>
          <w:szCs w:val="26"/>
        </w:rPr>
        <w:t xml:space="preserve">) from the first appellant to alleviate its financial problems.  Lot 379, </w:t>
      </w:r>
      <w:proofErr w:type="spellStart"/>
      <w:r w:rsidRPr="00297A47">
        <w:rPr>
          <w:sz w:val="26"/>
          <w:szCs w:val="26"/>
        </w:rPr>
        <w:t>Tubungu</w:t>
      </w:r>
      <w:proofErr w:type="spellEnd"/>
      <w:r w:rsidRPr="00297A47">
        <w:rPr>
          <w:sz w:val="26"/>
          <w:szCs w:val="26"/>
        </w:rPr>
        <w:t xml:space="preserve"> Estate</w:t>
      </w:r>
      <w:r w:rsidR="00D44710">
        <w:rPr>
          <w:sz w:val="26"/>
          <w:szCs w:val="26"/>
        </w:rPr>
        <w:t>,</w:t>
      </w:r>
      <w:r w:rsidRPr="00297A47">
        <w:rPr>
          <w:sz w:val="26"/>
          <w:szCs w:val="26"/>
        </w:rPr>
        <w:t xml:space="preserve"> was used as a pledge; the loan agreement was executed in the name of the trust</w:t>
      </w:r>
      <w:r w:rsidR="00D44710">
        <w:rPr>
          <w:sz w:val="26"/>
          <w:szCs w:val="26"/>
        </w:rPr>
        <w:t>,</w:t>
      </w:r>
      <w:r w:rsidRPr="00297A47">
        <w:rPr>
          <w:sz w:val="26"/>
          <w:szCs w:val="26"/>
        </w:rPr>
        <w:t xml:space="preserve"> being Sibonginkhosi Trust.</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45698E">
        <w:rPr>
          <w:sz w:val="26"/>
          <w:szCs w:val="26"/>
        </w:rPr>
        <w:t>5</w:t>
      </w:r>
      <w:r w:rsidRPr="00297A47">
        <w:rPr>
          <w:sz w:val="26"/>
          <w:szCs w:val="26"/>
        </w:rPr>
        <w:t>]</w:t>
      </w:r>
      <w:r w:rsidRPr="00297A47">
        <w:rPr>
          <w:sz w:val="26"/>
          <w:szCs w:val="26"/>
        </w:rPr>
        <w:tab/>
      </w:r>
      <w:r>
        <w:rPr>
          <w:sz w:val="26"/>
          <w:szCs w:val="26"/>
        </w:rPr>
        <w:t>T</w:t>
      </w:r>
      <w:r w:rsidRPr="00297A47">
        <w:rPr>
          <w:sz w:val="26"/>
          <w:szCs w:val="26"/>
        </w:rPr>
        <w:t xml:space="preserve">he first </w:t>
      </w:r>
      <w:r w:rsidR="000606A5">
        <w:rPr>
          <w:sz w:val="26"/>
          <w:szCs w:val="26"/>
        </w:rPr>
        <w:t xml:space="preserve">and second </w:t>
      </w:r>
      <w:r w:rsidRPr="00297A47">
        <w:rPr>
          <w:sz w:val="26"/>
          <w:szCs w:val="26"/>
        </w:rPr>
        <w:t>respondent</w:t>
      </w:r>
      <w:r w:rsidR="0045698E">
        <w:rPr>
          <w:sz w:val="26"/>
          <w:szCs w:val="26"/>
        </w:rPr>
        <w:t>s</w:t>
      </w:r>
      <w:r w:rsidRPr="00297A47">
        <w:rPr>
          <w:sz w:val="26"/>
          <w:szCs w:val="26"/>
        </w:rPr>
        <w:t xml:space="preserve"> contend that in November 2012</w:t>
      </w:r>
      <w:r w:rsidR="00D44710">
        <w:rPr>
          <w:sz w:val="26"/>
          <w:szCs w:val="26"/>
        </w:rPr>
        <w:t>,</w:t>
      </w:r>
      <w:r w:rsidRPr="00297A47">
        <w:rPr>
          <w:sz w:val="26"/>
          <w:szCs w:val="26"/>
        </w:rPr>
        <w:t xml:space="preserve"> </w:t>
      </w:r>
      <w:r w:rsidR="000606A5">
        <w:rPr>
          <w:sz w:val="26"/>
          <w:szCs w:val="26"/>
        </w:rPr>
        <w:t>t</w:t>
      </w:r>
      <w:r w:rsidRPr="00297A47">
        <w:rPr>
          <w:sz w:val="26"/>
          <w:szCs w:val="26"/>
        </w:rPr>
        <w:t>he</w:t>
      </w:r>
      <w:r w:rsidR="000606A5">
        <w:rPr>
          <w:sz w:val="26"/>
          <w:szCs w:val="26"/>
        </w:rPr>
        <w:t>y</w:t>
      </w:r>
      <w:r w:rsidRPr="00297A47">
        <w:rPr>
          <w:sz w:val="26"/>
          <w:szCs w:val="26"/>
        </w:rPr>
        <w:t xml:space="preserve"> needed further funds</w:t>
      </w:r>
      <w:r w:rsidR="00D44710">
        <w:rPr>
          <w:sz w:val="26"/>
          <w:szCs w:val="26"/>
        </w:rPr>
        <w:t>;</w:t>
      </w:r>
      <w:r w:rsidRPr="00297A47">
        <w:rPr>
          <w:sz w:val="26"/>
          <w:szCs w:val="26"/>
        </w:rPr>
        <w:t xml:space="preserve"> and</w:t>
      </w:r>
      <w:r w:rsidR="0045698E">
        <w:rPr>
          <w:sz w:val="26"/>
          <w:szCs w:val="26"/>
        </w:rPr>
        <w:t>,</w:t>
      </w:r>
      <w:r w:rsidRPr="00297A47">
        <w:rPr>
          <w:sz w:val="26"/>
          <w:szCs w:val="26"/>
        </w:rPr>
        <w:t xml:space="preserve"> </w:t>
      </w:r>
      <w:r w:rsidR="000606A5">
        <w:rPr>
          <w:sz w:val="26"/>
          <w:szCs w:val="26"/>
        </w:rPr>
        <w:t>they</w:t>
      </w:r>
      <w:r w:rsidRPr="00297A47">
        <w:rPr>
          <w:sz w:val="26"/>
          <w:szCs w:val="26"/>
        </w:rPr>
        <w:t xml:space="preserve"> approached the first appellant seeking further financial assistance by virtue of the purchase price still outstanding.  </w:t>
      </w:r>
      <w:r w:rsidR="00D44710">
        <w:rPr>
          <w:sz w:val="26"/>
          <w:szCs w:val="26"/>
        </w:rPr>
        <w:t>T</w:t>
      </w:r>
      <w:r w:rsidRPr="00297A47">
        <w:rPr>
          <w:sz w:val="26"/>
          <w:szCs w:val="26"/>
        </w:rPr>
        <w:t>he fi</w:t>
      </w:r>
      <w:r w:rsidR="0045698E">
        <w:rPr>
          <w:sz w:val="26"/>
          <w:szCs w:val="26"/>
        </w:rPr>
        <w:t>r</w:t>
      </w:r>
      <w:r w:rsidRPr="00297A47">
        <w:rPr>
          <w:sz w:val="26"/>
          <w:szCs w:val="26"/>
        </w:rPr>
        <w:t xml:space="preserve">st respondent </w:t>
      </w:r>
      <w:proofErr w:type="gramStart"/>
      <w:r w:rsidRPr="00297A47">
        <w:rPr>
          <w:sz w:val="26"/>
          <w:szCs w:val="26"/>
        </w:rPr>
        <w:t>contends</w:t>
      </w:r>
      <w:r w:rsidR="0045698E">
        <w:rPr>
          <w:sz w:val="26"/>
          <w:szCs w:val="26"/>
        </w:rPr>
        <w:t>,</w:t>
      </w:r>
      <w:proofErr w:type="gramEnd"/>
      <w:r w:rsidRPr="00297A47">
        <w:rPr>
          <w:sz w:val="26"/>
          <w:szCs w:val="26"/>
        </w:rPr>
        <w:t xml:space="preserve"> that </w:t>
      </w:r>
      <w:r w:rsidR="000606A5">
        <w:rPr>
          <w:sz w:val="26"/>
          <w:szCs w:val="26"/>
        </w:rPr>
        <w:t>it</w:t>
      </w:r>
      <w:r w:rsidRPr="00297A47">
        <w:rPr>
          <w:sz w:val="26"/>
          <w:szCs w:val="26"/>
        </w:rPr>
        <w:t xml:space="preserve"> was forced to cancel the contract orally</w:t>
      </w:r>
      <w:r w:rsidR="00D44710">
        <w:rPr>
          <w:sz w:val="26"/>
          <w:szCs w:val="26"/>
        </w:rPr>
        <w:t xml:space="preserve"> after realising that the first appellant did not have the money</w:t>
      </w:r>
      <w:r w:rsidRPr="00297A47">
        <w:rPr>
          <w:sz w:val="26"/>
          <w:szCs w:val="26"/>
        </w:rPr>
        <w:t>; this allegation is denied by the appellants.   Furthermore, the written contract in so far as it relates t</w:t>
      </w:r>
      <w:r w:rsidR="000606A5">
        <w:rPr>
          <w:sz w:val="26"/>
          <w:szCs w:val="26"/>
        </w:rPr>
        <w:t>o</w:t>
      </w:r>
      <w:r w:rsidRPr="00297A47">
        <w:rPr>
          <w:sz w:val="26"/>
          <w:szCs w:val="26"/>
        </w:rPr>
        <w:t xml:space="preserve"> land could not be cancelled orally.  Similarly, the bank guarantee was issued in December 2013 paving the way for registration of transfer as well </w:t>
      </w:r>
      <w:r w:rsidR="0045698E">
        <w:rPr>
          <w:sz w:val="26"/>
          <w:szCs w:val="26"/>
        </w:rPr>
        <w:t xml:space="preserve">as </w:t>
      </w:r>
      <w:r w:rsidRPr="00297A47">
        <w:rPr>
          <w:sz w:val="26"/>
          <w:szCs w:val="26"/>
        </w:rPr>
        <w:t>the release of the purchase price.  Incidentally, payment by cash was not provided for in the contract; payment was by means of a bank guarantee.  It is mischievous for the respondents to contend that the appellants had to bail them financial</w:t>
      </w:r>
      <w:r w:rsidR="000606A5">
        <w:rPr>
          <w:sz w:val="26"/>
          <w:szCs w:val="26"/>
        </w:rPr>
        <w:t>ly</w:t>
      </w:r>
      <w:r w:rsidRPr="00297A47">
        <w:rPr>
          <w:sz w:val="26"/>
          <w:szCs w:val="26"/>
        </w:rPr>
        <w:t xml:space="preserve"> from the balance of the purchase price.</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45698E">
        <w:rPr>
          <w:sz w:val="26"/>
          <w:szCs w:val="26"/>
        </w:rPr>
        <w:t>6</w:t>
      </w:r>
      <w:r w:rsidRPr="00297A47">
        <w:rPr>
          <w:sz w:val="26"/>
          <w:szCs w:val="26"/>
        </w:rPr>
        <w:t>]</w:t>
      </w:r>
      <w:r w:rsidRPr="00297A47">
        <w:rPr>
          <w:sz w:val="26"/>
          <w:szCs w:val="26"/>
        </w:rPr>
        <w:tab/>
        <w:t>The respondents allege that on the 29</w:t>
      </w:r>
      <w:r w:rsidRPr="00297A47">
        <w:rPr>
          <w:sz w:val="26"/>
          <w:szCs w:val="26"/>
          <w:vertAlign w:val="superscript"/>
        </w:rPr>
        <w:t>th</w:t>
      </w:r>
      <w:r w:rsidRPr="00297A47">
        <w:rPr>
          <w:sz w:val="26"/>
          <w:szCs w:val="26"/>
        </w:rPr>
        <w:t xml:space="preserve"> November 2012, they obtained a credit facility from the </w:t>
      </w:r>
      <w:r w:rsidR="0045698E">
        <w:rPr>
          <w:sz w:val="26"/>
          <w:szCs w:val="26"/>
        </w:rPr>
        <w:t>S</w:t>
      </w:r>
      <w:r w:rsidRPr="00297A47">
        <w:rPr>
          <w:sz w:val="26"/>
          <w:szCs w:val="26"/>
        </w:rPr>
        <w:t xml:space="preserve">tandard </w:t>
      </w:r>
      <w:r w:rsidR="0045698E">
        <w:rPr>
          <w:sz w:val="26"/>
          <w:szCs w:val="26"/>
        </w:rPr>
        <w:t>B</w:t>
      </w:r>
      <w:r w:rsidRPr="00297A47">
        <w:rPr>
          <w:sz w:val="26"/>
          <w:szCs w:val="26"/>
        </w:rPr>
        <w:t xml:space="preserve">ank in Manzini against the mortgage of the property on the basis that the bank guarantee was taking too long to arrive.  </w:t>
      </w:r>
      <w:r w:rsidR="0045698E">
        <w:rPr>
          <w:sz w:val="26"/>
          <w:szCs w:val="26"/>
        </w:rPr>
        <w:t>This contention overlooks the fact</w:t>
      </w:r>
      <w:r w:rsidRPr="00297A47">
        <w:rPr>
          <w:sz w:val="26"/>
          <w:szCs w:val="26"/>
        </w:rPr>
        <w:t xml:space="preserve"> that </w:t>
      </w:r>
      <w:r>
        <w:rPr>
          <w:sz w:val="26"/>
          <w:szCs w:val="26"/>
        </w:rPr>
        <w:t>C</w:t>
      </w:r>
      <w:r w:rsidRPr="00297A47">
        <w:rPr>
          <w:sz w:val="26"/>
          <w:szCs w:val="26"/>
        </w:rPr>
        <w:t xml:space="preserve">lause One of the contract does not stipulate the period within which the </w:t>
      </w:r>
      <w:r w:rsidR="0045698E">
        <w:rPr>
          <w:sz w:val="26"/>
          <w:szCs w:val="26"/>
        </w:rPr>
        <w:t xml:space="preserve">bank </w:t>
      </w:r>
      <w:r w:rsidRPr="00297A47">
        <w:rPr>
          <w:sz w:val="26"/>
          <w:szCs w:val="26"/>
        </w:rPr>
        <w:t>guarantee ha</w:t>
      </w:r>
      <w:r w:rsidR="000606A5">
        <w:rPr>
          <w:sz w:val="26"/>
          <w:szCs w:val="26"/>
        </w:rPr>
        <w:t>d</w:t>
      </w:r>
      <w:r w:rsidRPr="00297A47">
        <w:rPr>
          <w:sz w:val="26"/>
          <w:szCs w:val="26"/>
        </w:rPr>
        <w:t xml:space="preserve"> to be furnished</w:t>
      </w:r>
      <w:r w:rsidR="0045698E">
        <w:rPr>
          <w:sz w:val="26"/>
          <w:szCs w:val="26"/>
        </w:rPr>
        <w:t xml:space="preserve">; this proviso </w:t>
      </w:r>
      <w:r w:rsidRPr="00297A47">
        <w:rPr>
          <w:sz w:val="26"/>
          <w:szCs w:val="26"/>
        </w:rPr>
        <w:t xml:space="preserve">only </w:t>
      </w:r>
      <w:r w:rsidR="0045698E">
        <w:rPr>
          <w:sz w:val="26"/>
          <w:szCs w:val="26"/>
        </w:rPr>
        <w:t xml:space="preserve">states </w:t>
      </w:r>
      <w:r w:rsidRPr="00297A47">
        <w:rPr>
          <w:sz w:val="26"/>
          <w:szCs w:val="26"/>
        </w:rPr>
        <w:t>that “the purchase price shall be the sum of E1 250 000.00</w:t>
      </w:r>
      <w:r w:rsidR="00D44710">
        <w:rPr>
          <w:sz w:val="26"/>
          <w:szCs w:val="26"/>
        </w:rPr>
        <w:t xml:space="preserve"> </w:t>
      </w:r>
      <w:r w:rsidR="00D44710">
        <w:rPr>
          <w:sz w:val="26"/>
          <w:szCs w:val="26"/>
        </w:rPr>
        <w:lastRenderedPageBreak/>
        <w:t>(</w:t>
      </w:r>
      <w:r w:rsidRPr="00297A47">
        <w:rPr>
          <w:sz w:val="26"/>
          <w:szCs w:val="26"/>
        </w:rPr>
        <w:t xml:space="preserve">one million two hundred and fifty thousand </w:t>
      </w:r>
      <w:proofErr w:type="spellStart"/>
      <w:r w:rsidRPr="00297A47">
        <w:rPr>
          <w:sz w:val="26"/>
          <w:szCs w:val="26"/>
        </w:rPr>
        <w:t>emalangeni</w:t>
      </w:r>
      <w:proofErr w:type="spellEnd"/>
      <w:r w:rsidRPr="00297A47">
        <w:rPr>
          <w:sz w:val="26"/>
          <w:szCs w:val="26"/>
        </w:rPr>
        <w:t>) which amount will be secured by a covering letter of guarantee issued by a registered financial institution securing the amount of E1 250 000.00</w:t>
      </w:r>
      <w:r w:rsidR="005936FA">
        <w:rPr>
          <w:sz w:val="26"/>
          <w:szCs w:val="26"/>
        </w:rPr>
        <w:t xml:space="preserve"> </w:t>
      </w:r>
      <w:r w:rsidRPr="00297A47">
        <w:rPr>
          <w:sz w:val="26"/>
          <w:szCs w:val="26"/>
        </w:rPr>
        <w:t xml:space="preserve">(one million two hundred and fifty thousand </w:t>
      </w:r>
      <w:proofErr w:type="spellStart"/>
      <w:r w:rsidRPr="00297A47">
        <w:rPr>
          <w:sz w:val="26"/>
          <w:szCs w:val="26"/>
        </w:rPr>
        <w:t>emalangeni</w:t>
      </w:r>
      <w:proofErr w:type="spellEnd"/>
      <w:r w:rsidRPr="00297A47">
        <w:rPr>
          <w:sz w:val="26"/>
          <w:szCs w:val="26"/>
        </w:rPr>
        <w:t>) and made payable to the Seller upon registration of transfer of the property into the name of the purchaser</w:t>
      </w:r>
      <w:r w:rsidR="000606A5">
        <w:rPr>
          <w:sz w:val="26"/>
          <w:szCs w:val="26"/>
        </w:rPr>
        <w:t>,</w:t>
      </w:r>
      <w:r w:rsidRPr="00297A47">
        <w:rPr>
          <w:sz w:val="26"/>
          <w:szCs w:val="26"/>
        </w:rPr>
        <w:t xml:space="preserve"> being the trust in the cause of formation.</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[1</w:t>
      </w:r>
      <w:r w:rsidR="0045698E">
        <w:rPr>
          <w:sz w:val="26"/>
          <w:szCs w:val="26"/>
        </w:rPr>
        <w:t>7</w:t>
      </w:r>
      <w:r w:rsidRPr="00297A47">
        <w:rPr>
          <w:sz w:val="26"/>
          <w:szCs w:val="26"/>
        </w:rPr>
        <w:t>]</w:t>
      </w:r>
      <w:r w:rsidRPr="00297A47">
        <w:rPr>
          <w:sz w:val="26"/>
          <w:szCs w:val="26"/>
        </w:rPr>
        <w:tab/>
        <w:t xml:space="preserve">Similarly, the contract does not provide for the oral cancellation of the contract as alleged by the respondents.  Clause 8 provides that “the parties hereto agree that the </w:t>
      </w:r>
      <w:proofErr w:type="spellStart"/>
      <w:r w:rsidRPr="00297A47">
        <w:rPr>
          <w:sz w:val="26"/>
          <w:szCs w:val="26"/>
        </w:rPr>
        <w:t>aforewritten</w:t>
      </w:r>
      <w:proofErr w:type="spellEnd"/>
      <w:r w:rsidRPr="00297A47">
        <w:rPr>
          <w:sz w:val="26"/>
          <w:szCs w:val="26"/>
        </w:rPr>
        <w:t xml:space="preserve"> agreement constitutes the entire contract between them and that </w:t>
      </w:r>
      <w:proofErr w:type="gramStart"/>
      <w:r w:rsidR="000606A5">
        <w:rPr>
          <w:sz w:val="26"/>
          <w:szCs w:val="26"/>
        </w:rPr>
        <w:t>n</w:t>
      </w:r>
      <w:r w:rsidRPr="00297A47">
        <w:rPr>
          <w:sz w:val="26"/>
          <w:szCs w:val="26"/>
        </w:rPr>
        <w:t>either party or</w:t>
      </w:r>
      <w:proofErr w:type="gramEnd"/>
      <w:r w:rsidRPr="00297A47">
        <w:rPr>
          <w:sz w:val="26"/>
          <w:szCs w:val="26"/>
        </w:rPr>
        <w:t xml:space="preserve"> his/her agents have made no other conditions</w:t>
      </w:r>
      <w:r w:rsidR="0045698E">
        <w:rPr>
          <w:sz w:val="26"/>
          <w:szCs w:val="26"/>
        </w:rPr>
        <w:t>,</w:t>
      </w:r>
      <w:r w:rsidRPr="00297A47">
        <w:rPr>
          <w:sz w:val="26"/>
          <w:szCs w:val="26"/>
        </w:rPr>
        <w:t xml:space="preserve"> warranties or representations whatsoever”.</w:t>
      </w:r>
    </w:p>
    <w:p w:rsidR="006E0258" w:rsidRPr="00297A47" w:rsidRDefault="006E0258" w:rsidP="006E0258">
      <w:pPr>
        <w:spacing w:line="480" w:lineRule="auto"/>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[1</w:t>
      </w:r>
      <w:r w:rsidR="0045698E">
        <w:rPr>
          <w:sz w:val="26"/>
          <w:szCs w:val="26"/>
        </w:rPr>
        <w:t>8</w:t>
      </w:r>
      <w:r w:rsidRPr="00297A47">
        <w:rPr>
          <w:sz w:val="26"/>
          <w:szCs w:val="26"/>
        </w:rPr>
        <w:t>]</w:t>
      </w:r>
      <w:r w:rsidRPr="00297A47">
        <w:rPr>
          <w:sz w:val="26"/>
          <w:szCs w:val="26"/>
        </w:rPr>
        <w:tab/>
        <w:t xml:space="preserve">In the case of </w:t>
      </w:r>
      <w:r w:rsidRPr="00297A47">
        <w:rPr>
          <w:i/>
          <w:sz w:val="26"/>
          <w:szCs w:val="26"/>
        </w:rPr>
        <w:t>Motsa v. Carmichael Investments (Pty) Ltd</w:t>
      </w:r>
      <w:r w:rsidRPr="00297A47">
        <w:rPr>
          <w:sz w:val="26"/>
          <w:szCs w:val="26"/>
        </w:rPr>
        <w:t xml:space="preserve"> 1979-1981 SLR 166 at 171 (HC), Nathan CJ had this to say:</w:t>
      </w:r>
    </w:p>
    <w:p w:rsidR="006E0258" w:rsidRPr="00297A47" w:rsidRDefault="006E0258" w:rsidP="006E0258">
      <w:pPr>
        <w:spacing w:line="480" w:lineRule="auto"/>
        <w:jc w:val="both"/>
        <w:rPr>
          <w:sz w:val="26"/>
          <w:szCs w:val="26"/>
        </w:rPr>
      </w:pPr>
    </w:p>
    <w:p w:rsidR="006E0258" w:rsidRPr="00297A47" w:rsidRDefault="006E0258" w:rsidP="00D908BA">
      <w:pPr>
        <w:spacing w:line="360" w:lineRule="auto"/>
        <w:ind w:left="1440"/>
        <w:jc w:val="both"/>
        <w:rPr>
          <w:b/>
        </w:rPr>
      </w:pPr>
      <w:r w:rsidRPr="00297A47">
        <w:rPr>
          <w:b/>
        </w:rPr>
        <w:t xml:space="preserve">“Apart from this, no time for delivery of the bank guarantee was laid down in the deed of sale.   Consequently, the law as laid down in the case of </w:t>
      </w:r>
      <w:r w:rsidRPr="00297A47">
        <w:rPr>
          <w:b/>
          <w:i/>
        </w:rPr>
        <w:t>Hammer v. Klein and Another</w:t>
      </w:r>
      <w:r w:rsidRPr="00297A47">
        <w:rPr>
          <w:b/>
        </w:rPr>
        <w:t xml:space="preserve"> 1951 (2) SA 101 (AD) applies, namely that the Seller is not entitled to demand that the buyer should provide a guarantee on a date earlier than that on which the Seller proposes to lodge with the Registrar of Deeds the documents required for transfer.    If he makes such a demand, the buyer is entitled to ignore it without any risk of being placed in </w:t>
      </w:r>
      <w:proofErr w:type="spellStart"/>
      <w:r w:rsidRPr="00297A47">
        <w:rPr>
          <w:b/>
          <w:i/>
        </w:rPr>
        <w:t>mora</w:t>
      </w:r>
      <w:proofErr w:type="spellEnd"/>
      <w:r w:rsidRPr="00297A47">
        <w:rPr>
          <w:b/>
        </w:rPr>
        <w:t>.  The buyer duly performs his obligation if he tenders the guarantee at any time before the Seller actually lodges the documents required for transfer with the Registrar of Deeds.”</w:t>
      </w:r>
    </w:p>
    <w:p w:rsidR="006E0258" w:rsidRPr="00297A47" w:rsidRDefault="006E0258" w:rsidP="006E0258">
      <w:pPr>
        <w:spacing w:line="480" w:lineRule="auto"/>
        <w:jc w:val="both"/>
        <w:rPr>
          <w:sz w:val="26"/>
          <w:szCs w:val="26"/>
        </w:rPr>
      </w:pPr>
      <w:r w:rsidRPr="00297A47">
        <w:rPr>
          <w:sz w:val="26"/>
          <w:szCs w:val="26"/>
        </w:rPr>
        <w:lastRenderedPageBreak/>
        <w:t>[</w:t>
      </w:r>
      <w:r w:rsidR="0045698E">
        <w:rPr>
          <w:sz w:val="26"/>
          <w:szCs w:val="26"/>
        </w:rPr>
        <w:t>19</w:t>
      </w:r>
      <w:r w:rsidRPr="00297A47">
        <w:rPr>
          <w:sz w:val="26"/>
          <w:szCs w:val="26"/>
        </w:rPr>
        <w:t>]</w:t>
      </w:r>
      <w:r w:rsidRPr="00297A47">
        <w:rPr>
          <w:sz w:val="26"/>
          <w:szCs w:val="26"/>
        </w:rPr>
        <w:tab/>
        <w:t>Section 31 of the Transfer Duty Act N</w:t>
      </w:r>
      <w:r>
        <w:rPr>
          <w:sz w:val="26"/>
          <w:szCs w:val="26"/>
        </w:rPr>
        <w:t>o</w:t>
      </w:r>
      <w:r w:rsidRPr="00297A47">
        <w:rPr>
          <w:sz w:val="26"/>
          <w:szCs w:val="26"/>
        </w:rPr>
        <w:t>. 8 of 1902 provides the following:</w:t>
      </w:r>
    </w:p>
    <w:p w:rsidR="006E0258" w:rsidRDefault="006E0258" w:rsidP="006E0258">
      <w:pPr>
        <w:spacing w:line="480" w:lineRule="auto"/>
        <w:ind w:left="720"/>
        <w:jc w:val="both"/>
        <w:rPr>
          <w:sz w:val="26"/>
          <w:szCs w:val="26"/>
        </w:rPr>
      </w:pPr>
    </w:p>
    <w:p w:rsidR="006E0258" w:rsidRPr="005E5161" w:rsidRDefault="006E0258" w:rsidP="006E0258">
      <w:pPr>
        <w:spacing w:line="360" w:lineRule="auto"/>
        <w:ind w:left="1440"/>
        <w:jc w:val="both"/>
        <w:rPr>
          <w:b/>
        </w:rPr>
      </w:pPr>
      <w:r w:rsidRPr="005E5161">
        <w:rPr>
          <w:b/>
        </w:rPr>
        <w:t>“31. No contract of Sale of fixed property shall be of any force or effect unless it is in writing and signed by the parties thereto or by their agents duly authorised in writing.”</w:t>
      </w:r>
    </w:p>
    <w:p w:rsidR="006E0258" w:rsidRPr="00297A47" w:rsidRDefault="006E0258" w:rsidP="006E0258">
      <w:pPr>
        <w:spacing w:line="480" w:lineRule="auto"/>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[2</w:t>
      </w:r>
      <w:r w:rsidR="0045698E">
        <w:rPr>
          <w:sz w:val="26"/>
          <w:szCs w:val="26"/>
        </w:rPr>
        <w:t>0</w:t>
      </w:r>
      <w:r w:rsidRPr="00297A47">
        <w:rPr>
          <w:sz w:val="26"/>
          <w:szCs w:val="26"/>
        </w:rPr>
        <w:t>]</w:t>
      </w:r>
      <w:r w:rsidRPr="00297A47">
        <w:rPr>
          <w:sz w:val="26"/>
          <w:szCs w:val="26"/>
        </w:rPr>
        <w:tab/>
        <w:t xml:space="preserve">Similarly, a contract for the sale of land cannot be varied or terminated orally.  His Lordship Nathan CJ in the case of </w:t>
      </w:r>
      <w:r w:rsidRPr="005E5161">
        <w:rPr>
          <w:i/>
          <w:sz w:val="26"/>
          <w:szCs w:val="26"/>
        </w:rPr>
        <w:t>Soar v. Mabuza</w:t>
      </w:r>
      <w:r w:rsidRPr="00297A47">
        <w:rPr>
          <w:sz w:val="26"/>
          <w:szCs w:val="26"/>
        </w:rPr>
        <w:t xml:space="preserve"> 1982-1986 SLR 1 at 2-3 had this to say:</w:t>
      </w:r>
    </w:p>
    <w:p w:rsidR="006E0258" w:rsidRPr="00297A47" w:rsidRDefault="006E0258" w:rsidP="006E0258">
      <w:pPr>
        <w:spacing w:line="480" w:lineRule="auto"/>
        <w:jc w:val="both"/>
        <w:rPr>
          <w:sz w:val="26"/>
          <w:szCs w:val="26"/>
        </w:rPr>
      </w:pPr>
    </w:p>
    <w:p w:rsidR="006E0258" w:rsidRPr="005E5161" w:rsidRDefault="006E0258" w:rsidP="00D908BA">
      <w:pPr>
        <w:spacing w:line="360" w:lineRule="auto"/>
        <w:ind w:left="1440"/>
        <w:jc w:val="both"/>
        <w:rPr>
          <w:b/>
        </w:rPr>
      </w:pPr>
      <w:r w:rsidRPr="005E5161">
        <w:rPr>
          <w:b/>
        </w:rPr>
        <w:t xml:space="preserve">“… </w:t>
      </w:r>
      <w:proofErr w:type="gramStart"/>
      <w:r w:rsidRPr="005E5161">
        <w:rPr>
          <w:b/>
        </w:rPr>
        <w:t>this</w:t>
      </w:r>
      <w:proofErr w:type="gramEnd"/>
      <w:r w:rsidRPr="005E5161">
        <w:rPr>
          <w:b/>
        </w:rPr>
        <w:t xml:space="preserve"> was a contract for the sale of immovable property which has by </w:t>
      </w:r>
      <w:r w:rsidR="0045698E">
        <w:rPr>
          <w:b/>
        </w:rPr>
        <w:t>S</w:t>
      </w:r>
      <w:r w:rsidRPr="005E5161">
        <w:rPr>
          <w:b/>
        </w:rPr>
        <w:t xml:space="preserve">tatute to be in writing.   It is well-settled law that extrinsic evidence, whether oral or contained in writings such as preliminary drafts or correspondence instruments or the like is inadmissible to add to, vary, modify or contradict a written instrument … </w:t>
      </w:r>
      <w:r w:rsidR="000606A5">
        <w:rPr>
          <w:b/>
        </w:rPr>
        <w:t>T</w:t>
      </w:r>
      <w:r w:rsidRPr="005E5161">
        <w:rPr>
          <w:b/>
        </w:rPr>
        <w:t xml:space="preserve">o permit the leading of evidence in support of the representation pleaded by the defendant would be to contradict the very terms of the written agreement which includes the </w:t>
      </w:r>
      <w:proofErr w:type="spellStart"/>
      <w:r w:rsidRPr="005E5161">
        <w:rPr>
          <w:b/>
          <w:i/>
        </w:rPr>
        <w:t>voetstoots</w:t>
      </w:r>
      <w:proofErr w:type="spellEnd"/>
      <w:r w:rsidRPr="005E5161">
        <w:rPr>
          <w:b/>
        </w:rPr>
        <w:t xml:space="preserve"> clause.  It would also adding to and varying the written agreement ….  Where the transaction is affected by mistake, fraud, illegality or duress it may be added to, varied, contradicted or vitiated in whole or in part.   But it is to be noted that that the exception does not extend to the case where the transaction has been induced by an innocent, as distinct from a fraudulent misrepresentation.”</w:t>
      </w:r>
    </w:p>
    <w:p w:rsidR="006E0258" w:rsidRPr="00297A47" w:rsidRDefault="006E0258" w:rsidP="006E0258">
      <w:pPr>
        <w:spacing w:line="480" w:lineRule="auto"/>
        <w:jc w:val="both"/>
        <w:rPr>
          <w:sz w:val="26"/>
          <w:szCs w:val="26"/>
        </w:rPr>
      </w:pPr>
      <w:r w:rsidRPr="00297A47">
        <w:rPr>
          <w:sz w:val="26"/>
          <w:szCs w:val="26"/>
        </w:rPr>
        <w:tab/>
      </w:r>
    </w:p>
    <w:p w:rsidR="006E0258" w:rsidRDefault="006E0258" w:rsidP="00D908BA">
      <w:pPr>
        <w:spacing w:line="480" w:lineRule="auto"/>
        <w:ind w:left="720" w:hanging="720"/>
        <w:jc w:val="both"/>
        <w:rPr>
          <w:sz w:val="26"/>
          <w:szCs w:val="26"/>
        </w:rPr>
      </w:pPr>
      <w:r w:rsidRPr="00297A47">
        <w:rPr>
          <w:sz w:val="26"/>
          <w:szCs w:val="26"/>
        </w:rPr>
        <w:t>[2</w:t>
      </w:r>
      <w:r w:rsidR="0045698E">
        <w:rPr>
          <w:sz w:val="26"/>
          <w:szCs w:val="26"/>
        </w:rPr>
        <w:t>1</w:t>
      </w:r>
      <w:r w:rsidRPr="00297A47">
        <w:rPr>
          <w:sz w:val="26"/>
          <w:szCs w:val="26"/>
        </w:rPr>
        <w:t>]</w:t>
      </w:r>
      <w:r w:rsidRPr="00297A47">
        <w:rPr>
          <w:sz w:val="26"/>
          <w:szCs w:val="26"/>
        </w:rPr>
        <w:tab/>
        <w:t>The appellants in their reply</w:t>
      </w:r>
      <w:r w:rsidR="000606A5">
        <w:rPr>
          <w:sz w:val="26"/>
          <w:szCs w:val="26"/>
        </w:rPr>
        <w:t>ing</w:t>
      </w:r>
      <w:r w:rsidRPr="00297A47">
        <w:rPr>
          <w:sz w:val="26"/>
          <w:szCs w:val="26"/>
        </w:rPr>
        <w:t xml:space="preserve"> affidavit argued that section 15 of the Deeds Registry Act does not preclude </w:t>
      </w:r>
      <w:r w:rsidR="00D44710">
        <w:rPr>
          <w:sz w:val="26"/>
          <w:szCs w:val="26"/>
        </w:rPr>
        <w:t xml:space="preserve">the </w:t>
      </w:r>
      <w:r w:rsidRPr="00297A47">
        <w:rPr>
          <w:sz w:val="26"/>
          <w:szCs w:val="26"/>
        </w:rPr>
        <w:t>registration of immovable property into the name of a trust on the basis that real ownership of the property vests in the trustee</w:t>
      </w:r>
      <w:r w:rsidR="00D44710">
        <w:rPr>
          <w:sz w:val="26"/>
          <w:szCs w:val="26"/>
        </w:rPr>
        <w:t>s</w:t>
      </w:r>
      <w:r w:rsidRPr="00297A47">
        <w:rPr>
          <w:sz w:val="26"/>
          <w:szCs w:val="26"/>
        </w:rPr>
        <w:t xml:space="preserve">.   They further argued that this has been a long standing practice </w:t>
      </w:r>
      <w:r w:rsidR="00103DFB">
        <w:rPr>
          <w:sz w:val="26"/>
          <w:szCs w:val="26"/>
        </w:rPr>
        <w:t xml:space="preserve">in </w:t>
      </w:r>
      <w:r w:rsidRPr="00297A47">
        <w:rPr>
          <w:sz w:val="26"/>
          <w:szCs w:val="26"/>
        </w:rPr>
        <w:t xml:space="preserve">the </w:t>
      </w:r>
      <w:r w:rsidRPr="00297A47">
        <w:rPr>
          <w:sz w:val="26"/>
          <w:szCs w:val="26"/>
        </w:rPr>
        <w:lastRenderedPageBreak/>
        <w:t>registration of immovable property into a trust.</w:t>
      </w:r>
      <w:r w:rsidR="00103DFB">
        <w:rPr>
          <w:sz w:val="26"/>
          <w:szCs w:val="26"/>
        </w:rPr>
        <w:t xml:space="preserve">   </w:t>
      </w:r>
      <w:r w:rsidRPr="00297A47">
        <w:rPr>
          <w:sz w:val="26"/>
          <w:szCs w:val="26"/>
        </w:rPr>
        <w:t>It is not in dispute that</w:t>
      </w:r>
      <w:r w:rsidR="00D44710">
        <w:rPr>
          <w:sz w:val="26"/>
          <w:szCs w:val="26"/>
        </w:rPr>
        <w:t>,</w:t>
      </w:r>
      <w:r w:rsidRPr="00297A47">
        <w:rPr>
          <w:sz w:val="26"/>
          <w:szCs w:val="26"/>
        </w:rPr>
        <w:t xml:space="preserve"> in this country</w:t>
      </w:r>
      <w:r w:rsidR="00D44710">
        <w:rPr>
          <w:sz w:val="26"/>
          <w:szCs w:val="26"/>
        </w:rPr>
        <w:t>,</w:t>
      </w:r>
      <w:r w:rsidRPr="00297A47">
        <w:rPr>
          <w:sz w:val="26"/>
          <w:szCs w:val="26"/>
        </w:rPr>
        <w:t xml:space="preserve"> a practice has developed where immovable property is registered in the name of a trust with ownership of the property vesting in the trustees.  </w:t>
      </w:r>
      <w:r w:rsidR="00103DFB">
        <w:rPr>
          <w:sz w:val="26"/>
          <w:szCs w:val="26"/>
        </w:rPr>
        <w:t>However, s</w:t>
      </w:r>
      <w:r w:rsidRPr="00297A47">
        <w:rPr>
          <w:sz w:val="26"/>
          <w:szCs w:val="26"/>
        </w:rPr>
        <w:t>ection 15 of the Deeds Registry Act provides the following:</w:t>
      </w:r>
    </w:p>
    <w:p w:rsidR="006E0258" w:rsidRPr="00297A47" w:rsidRDefault="006E0258" w:rsidP="006E0258">
      <w:pPr>
        <w:spacing w:line="480" w:lineRule="auto"/>
        <w:jc w:val="both"/>
        <w:rPr>
          <w:sz w:val="26"/>
          <w:szCs w:val="26"/>
        </w:rPr>
      </w:pPr>
    </w:p>
    <w:p w:rsidR="006E0258" w:rsidRPr="005E5161" w:rsidRDefault="006E0258" w:rsidP="00D908BA">
      <w:pPr>
        <w:spacing w:line="360" w:lineRule="auto"/>
        <w:ind w:left="1440"/>
        <w:jc w:val="both"/>
        <w:rPr>
          <w:b/>
        </w:rPr>
      </w:pPr>
      <w:r w:rsidRPr="005E5161">
        <w:rPr>
          <w:b/>
        </w:rPr>
        <w:t>“Save as otherwise provided for in this Act or any other law, the Ownership of land may be conveyed from one person to another by means of a deed of transfer executed or attested by the registr</w:t>
      </w:r>
      <w:r w:rsidR="00103DFB">
        <w:rPr>
          <w:b/>
        </w:rPr>
        <w:t>ar</w:t>
      </w:r>
      <w:r w:rsidRPr="005E5161">
        <w:rPr>
          <w:b/>
        </w:rPr>
        <w:t>.”</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[2</w:t>
      </w:r>
      <w:r w:rsidR="0045698E">
        <w:rPr>
          <w:sz w:val="26"/>
          <w:szCs w:val="26"/>
        </w:rPr>
        <w:t>2</w:t>
      </w:r>
      <w:r w:rsidRPr="00297A47">
        <w:rPr>
          <w:sz w:val="26"/>
          <w:szCs w:val="26"/>
        </w:rPr>
        <w:t>]</w:t>
      </w:r>
      <w:r w:rsidRPr="00297A47">
        <w:rPr>
          <w:sz w:val="26"/>
          <w:szCs w:val="26"/>
        </w:rPr>
        <w:tab/>
        <w:t xml:space="preserve">It is apparent from section 15 of the Deeds Registry Act that ownership of land can only be transferred from one person to another.    A trust is not a legal person, and this explains why property in a trust vests in the trustees.   The long standing practice prevailing in this country of registering immovable property in the name of a trust cannot </w:t>
      </w:r>
      <w:proofErr w:type="spellStart"/>
      <w:r w:rsidRPr="00297A47">
        <w:rPr>
          <w:sz w:val="26"/>
          <w:szCs w:val="26"/>
        </w:rPr>
        <w:t>supercede</w:t>
      </w:r>
      <w:proofErr w:type="spellEnd"/>
      <w:r w:rsidRPr="00297A47">
        <w:rPr>
          <w:sz w:val="26"/>
          <w:szCs w:val="26"/>
        </w:rPr>
        <w:t xml:space="preserve"> the clear and unambiguous provisions of section 15 of the Deeds Registry Act.</w:t>
      </w:r>
    </w:p>
    <w:p w:rsidR="006E0258" w:rsidRPr="00297A47" w:rsidRDefault="006E0258" w:rsidP="006E0258">
      <w:pPr>
        <w:spacing w:line="480" w:lineRule="auto"/>
        <w:jc w:val="both"/>
        <w:rPr>
          <w:sz w:val="26"/>
          <w:szCs w:val="26"/>
        </w:rPr>
      </w:pPr>
    </w:p>
    <w:p w:rsidR="006E0258" w:rsidRPr="00297A47" w:rsidRDefault="006E0258" w:rsidP="00D908BA">
      <w:pPr>
        <w:spacing w:line="480" w:lineRule="auto"/>
        <w:ind w:left="720" w:hanging="720"/>
        <w:jc w:val="both"/>
        <w:rPr>
          <w:sz w:val="26"/>
          <w:szCs w:val="26"/>
        </w:rPr>
      </w:pPr>
      <w:r w:rsidRPr="00297A47">
        <w:rPr>
          <w:sz w:val="26"/>
          <w:szCs w:val="26"/>
        </w:rPr>
        <w:t>[2</w:t>
      </w:r>
      <w:r w:rsidR="0045698E">
        <w:rPr>
          <w:sz w:val="26"/>
          <w:szCs w:val="26"/>
        </w:rPr>
        <w:t>3</w:t>
      </w:r>
      <w:r w:rsidRPr="00297A47">
        <w:rPr>
          <w:sz w:val="26"/>
          <w:szCs w:val="26"/>
        </w:rPr>
        <w:t>]</w:t>
      </w:r>
      <w:r w:rsidRPr="00297A47">
        <w:rPr>
          <w:sz w:val="26"/>
          <w:szCs w:val="26"/>
        </w:rPr>
        <w:tab/>
        <w:t>Section 15 of the Deeds Registry Act is synonymous with section 1</w:t>
      </w:r>
      <w:r w:rsidR="00103DFB">
        <w:rPr>
          <w:sz w:val="26"/>
          <w:szCs w:val="26"/>
        </w:rPr>
        <w:t>6</w:t>
      </w:r>
      <w:r w:rsidRPr="00297A47">
        <w:rPr>
          <w:sz w:val="26"/>
          <w:szCs w:val="26"/>
        </w:rPr>
        <w:t xml:space="preserve"> of the South African Deeds Registr</w:t>
      </w:r>
      <w:r w:rsidR="0045698E">
        <w:rPr>
          <w:sz w:val="26"/>
          <w:szCs w:val="26"/>
        </w:rPr>
        <w:t>ies</w:t>
      </w:r>
      <w:r w:rsidRPr="00297A47">
        <w:rPr>
          <w:sz w:val="26"/>
          <w:szCs w:val="26"/>
        </w:rPr>
        <w:t xml:space="preserve"> Act 47 of 1937.  Both articulate the </w:t>
      </w:r>
      <w:r w:rsidR="00103DFB">
        <w:rPr>
          <w:sz w:val="26"/>
          <w:szCs w:val="26"/>
        </w:rPr>
        <w:t>C</w:t>
      </w:r>
      <w:r w:rsidRPr="00297A47">
        <w:rPr>
          <w:sz w:val="26"/>
          <w:szCs w:val="26"/>
        </w:rPr>
        <w:t xml:space="preserve">ommon law position.   The Supreme Court of Appeal of South Africa in the case of Commissioner of </w:t>
      </w:r>
      <w:r w:rsidRPr="00297A47">
        <w:rPr>
          <w:i/>
          <w:sz w:val="26"/>
          <w:szCs w:val="26"/>
        </w:rPr>
        <w:t>Inland Revenue v. Friedman and Others NNO</w:t>
      </w:r>
      <w:r w:rsidRPr="00297A47">
        <w:rPr>
          <w:sz w:val="26"/>
          <w:szCs w:val="26"/>
        </w:rPr>
        <w:t xml:space="preserve"> 1993 (1) SA 353 (A) at 370 emphasises the </w:t>
      </w:r>
      <w:r w:rsidR="00103DFB">
        <w:rPr>
          <w:sz w:val="26"/>
          <w:szCs w:val="26"/>
        </w:rPr>
        <w:t>C</w:t>
      </w:r>
      <w:r w:rsidRPr="00297A47">
        <w:rPr>
          <w:sz w:val="26"/>
          <w:szCs w:val="26"/>
        </w:rPr>
        <w:t>ommon law position that a trust is not a legal person; and, that for this reason assets and liabilities in a trust vest in the trustee</w:t>
      </w:r>
      <w:r w:rsidR="0045698E">
        <w:rPr>
          <w:sz w:val="26"/>
          <w:szCs w:val="26"/>
        </w:rPr>
        <w:t>s</w:t>
      </w:r>
      <w:r w:rsidRPr="00297A47">
        <w:rPr>
          <w:sz w:val="26"/>
          <w:szCs w:val="26"/>
        </w:rPr>
        <w:t xml:space="preserve">.  In the case of </w:t>
      </w:r>
      <w:proofErr w:type="spellStart"/>
      <w:r w:rsidRPr="00297A47">
        <w:rPr>
          <w:i/>
          <w:sz w:val="26"/>
          <w:szCs w:val="26"/>
        </w:rPr>
        <w:t>Jourbert</w:t>
      </w:r>
      <w:proofErr w:type="spellEnd"/>
      <w:r w:rsidRPr="00297A47">
        <w:rPr>
          <w:i/>
          <w:sz w:val="26"/>
          <w:szCs w:val="26"/>
        </w:rPr>
        <w:t xml:space="preserve"> and Others v. Van </w:t>
      </w:r>
      <w:proofErr w:type="spellStart"/>
      <w:r w:rsidRPr="00297A47">
        <w:rPr>
          <w:i/>
          <w:sz w:val="26"/>
          <w:szCs w:val="26"/>
        </w:rPr>
        <w:t>Rensburg</w:t>
      </w:r>
      <w:proofErr w:type="spellEnd"/>
      <w:r w:rsidRPr="00297A47">
        <w:rPr>
          <w:i/>
          <w:sz w:val="26"/>
          <w:szCs w:val="26"/>
        </w:rPr>
        <w:t xml:space="preserve"> and Others </w:t>
      </w:r>
      <w:r w:rsidRPr="00297A47">
        <w:rPr>
          <w:sz w:val="26"/>
          <w:szCs w:val="26"/>
        </w:rPr>
        <w:t xml:space="preserve">2001 (1) SA (W) 753, the Court emphasised that the effect of section 16 of the Deeds </w:t>
      </w:r>
      <w:r w:rsidRPr="00297A47">
        <w:rPr>
          <w:sz w:val="26"/>
          <w:szCs w:val="26"/>
        </w:rPr>
        <w:lastRenderedPageBreak/>
        <w:t>Registr</w:t>
      </w:r>
      <w:r w:rsidR="0045698E">
        <w:rPr>
          <w:sz w:val="26"/>
          <w:szCs w:val="26"/>
        </w:rPr>
        <w:t>ies</w:t>
      </w:r>
      <w:r w:rsidRPr="00297A47">
        <w:rPr>
          <w:sz w:val="26"/>
          <w:szCs w:val="26"/>
        </w:rPr>
        <w:t xml:space="preserve"> Act is to prohibit transfer of immovable property to a trust on the basis that it is not a legal person, and, that trust property is owned by the trustees.  The </w:t>
      </w:r>
      <w:r w:rsidR="0045698E">
        <w:rPr>
          <w:sz w:val="26"/>
          <w:szCs w:val="26"/>
        </w:rPr>
        <w:t>C</w:t>
      </w:r>
      <w:r w:rsidRPr="00297A47">
        <w:rPr>
          <w:sz w:val="26"/>
          <w:szCs w:val="26"/>
        </w:rPr>
        <w:t xml:space="preserve">ourt further emphasised the prevailing practice of registering immovable property in the name </w:t>
      </w:r>
      <w:r w:rsidR="00412D2C" w:rsidRPr="00297A47">
        <w:rPr>
          <w:sz w:val="26"/>
          <w:szCs w:val="26"/>
        </w:rPr>
        <w:t xml:space="preserve">of </w:t>
      </w:r>
      <w:r w:rsidR="00412D2C">
        <w:rPr>
          <w:sz w:val="26"/>
          <w:szCs w:val="26"/>
        </w:rPr>
        <w:t xml:space="preserve">a </w:t>
      </w:r>
      <w:r w:rsidRPr="00297A47">
        <w:rPr>
          <w:sz w:val="26"/>
          <w:szCs w:val="26"/>
        </w:rPr>
        <w:t>trust</w:t>
      </w:r>
      <w:r w:rsidR="00412D2C">
        <w:rPr>
          <w:sz w:val="26"/>
          <w:szCs w:val="26"/>
        </w:rPr>
        <w:t>; the Court held that such a practice</w:t>
      </w:r>
      <w:r w:rsidRPr="00297A47">
        <w:rPr>
          <w:sz w:val="26"/>
          <w:szCs w:val="26"/>
        </w:rPr>
        <w:t xml:space="preserve"> cannot override the provisions of section 16 of the Deeds Registry Act.</w:t>
      </w:r>
    </w:p>
    <w:p w:rsidR="006E0258" w:rsidRPr="00297A47" w:rsidRDefault="006E0258" w:rsidP="006E0258">
      <w:pPr>
        <w:spacing w:line="480" w:lineRule="auto"/>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[2</w:t>
      </w:r>
      <w:r w:rsidR="0045698E">
        <w:rPr>
          <w:sz w:val="26"/>
          <w:szCs w:val="26"/>
        </w:rPr>
        <w:t>4</w:t>
      </w:r>
      <w:r w:rsidRPr="00297A47">
        <w:rPr>
          <w:sz w:val="26"/>
          <w:szCs w:val="26"/>
        </w:rPr>
        <w:t>]</w:t>
      </w:r>
      <w:r w:rsidRPr="00297A47">
        <w:rPr>
          <w:sz w:val="26"/>
          <w:szCs w:val="26"/>
        </w:rPr>
        <w:tab/>
      </w:r>
      <w:proofErr w:type="spellStart"/>
      <w:r w:rsidRPr="00297A47">
        <w:rPr>
          <w:sz w:val="26"/>
          <w:szCs w:val="26"/>
        </w:rPr>
        <w:t>Labuschagne</w:t>
      </w:r>
      <w:proofErr w:type="spellEnd"/>
      <w:r w:rsidRPr="00297A47">
        <w:rPr>
          <w:sz w:val="26"/>
          <w:szCs w:val="26"/>
        </w:rPr>
        <w:t xml:space="preserve"> J in the case of </w:t>
      </w:r>
      <w:proofErr w:type="spellStart"/>
      <w:r w:rsidRPr="00297A47">
        <w:rPr>
          <w:i/>
          <w:sz w:val="26"/>
          <w:szCs w:val="26"/>
        </w:rPr>
        <w:t>Mariola</w:t>
      </w:r>
      <w:proofErr w:type="spellEnd"/>
      <w:r w:rsidRPr="00297A47">
        <w:rPr>
          <w:i/>
          <w:sz w:val="26"/>
          <w:szCs w:val="26"/>
        </w:rPr>
        <w:t xml:space="preserve"> and Others v. Kaye – Eddie NO and Others </w:t>
      </w:r>
      <w:r w:rsidRPr="00297A47">
        <w:rPr>
          <w:sz w:val="26"/>
          <w:szCs w:val="26"/>
        </w:rPr>
        <w:t xml:space="preserve">1995 (2) SA 728 (W) at 731 stated the </w:t>
      </w:r>
      <w:r w:rsidR="00412D2C">
        <w:rPr>
          <w:sz w:val="26"/>
          <w:szCs w:val="26"/>
        </w:rPr>
        <w:t>C</w:t>
      </w:r>
      <w:r w:rsidRPr="00297A47">
        <w:rPr>
          <w:sz w:val="26"/>
          <w:szCs w:val="26"/>
        </w:rPr>
        <w:t>ommon law position of trusts in the following:</w:t>
      </w:r>
    </w:p>
    <w:p w:rsidR="00412D2C" w:rsidRDefault="00412D2C" w:rsidP="00D908BA">
      <w:pPr>
        <w:spacing w:line="480" w:lineRule="auto"/>
        <w:ind w:left="720" w:hanging="720"/>
        <w:jc w:val="both"/>
        <w:rPr>
          <w:sz w:val="26"/>
          <w:szCs w:val="26"/>
        </w:rPr>
      </w:pPr>
    </w:p>
    <w:p w:rsidR="006E0258" w:rsidRDefault="006E0258" w:rsidP="00D908BA">
      <w:pPr>
        <w:spacing w:line="360" w:lineRule="auto"/>
        <w:ind w:left="1440"/>
        <w:jc w:val="both"/>
        <w:rPr>
          <w:b/>
        </w:rPr>
      </w:pPr>
      <w:r w:rsidRPr="005E5161">
        <w:rPr>
          <w:b/>
        </w:rPr>
        <w:t xml:space="preserve">“In our law a trust is not a legal person but a legal institution, </w:t>
      </w:r>
      <w:r w:rsidRPr="005E5161">
        <w:rPr>
          <w:b/>
          <w:i/>
        </w:rPr>
        <w:t>sui generis</w:t>
      </w:r>
      <w:r>
        <w:rPr>
          <w:b/>
        </w:rPr>
        <w:t xml:space="preserve">. The assets and </w:t>
      </w:r>
      <w:r w:rsidRPr="005E5161">
        <w:rPr>
          <w:b/>
        </w:rPr>
        <w:t xml:space="preserve">liabilities of a trust vest in the trustee or trustees.  The trustee is the owner </w:t>
      </w:r>
      <w:r>
        <w:rPr>
          <w:b/>
        </w:rPr>
        <w:t xml:space="preserve">of the trust property </w:t>
      </w:r>
      <w:r w:rsidRPr="005E5161">
        <w:rPr>
          <w:b/>
        </w:rPr>
        <w:t xml:space="preserve">for purposes </w:t>
      </w:r>
      <w:r>
        <w:rPr>
          <w:b/>
        </w:rPr>
        <w:t xml:space="preserve">of </w:t>
      </w:r>
      <w:r w:rsidRPr="005E5161">
        <w:rPr>
          <w:b/>
        </w:rPr>
        <w:t>administration of trust, but qua trustee he has no beneficial interest therein.</w:t>
      </w:r>
    </w:p>
    <w:p w:rsidR="00686DA4" w:rsidRPr="005E5161" w:rsidRDefault="00686DA4" w:rsidP="006E0258">
      <w:pPr>
        <w:spacing w:line="360" w:lineRule="auto"/>
        <w:ind w:left="720"/>
        <w:jc w:val="both"/>
        <w:rPr>
          <w:b/>
        </w:rPr>
      </w:pPr>
    </w:p>
    <w:p w:rsidR="006E0258" w:rsidRDefault="006E0258" w:rsidP="00D908BA">
      <w:pPr>
        <w:spacing w:line="360" w:lineRule="auto"/>
        <w:ind w:left="720" w:firstLine="720"/>
        <w:jc w:val="both"/>
        <w:rPr>
          <w:b/>
        </w:rPr>
      </w:pPr>
      <w:r w:rsidRPr="005E5161">
        <w:rPr>
          <w:b/>
        </w:rPr>
        <w:t>….</w:t>
      </w:r>
    </w:p>
    <w:p w:rsidR="00686DA4" w:rsidRPr="005E5161" w:rsidRDefault="00686DA4" w:rsidP="006E0258">
      <w:pPr>
        <w:spacing w:line="360" w:lineRule="auto"/>
        <w:ind w:left="720"/>
        <w:jc w:val="both"/>
        <w:rPr>
          <w:b/>
        </w:rPr>
      </w:pPr>
    </w:p>
    <w:p w:rsidR="006E0258" w:rsidRDefault="006E0258" w:rsidP="00D908BA">
      <w:pPr>
        <w:spacing w:line="360" w:lineRule="auto"/>
        <w:ind w:left="1440"/>
        <w:jc w:val="both"/>
        <w:rPr>
          <w:b/>
        </w:rPr>
      </w:pPr>
      <w:r w:rsidRPr="005E5161">
        <w:rPr>
          <w:b/>
        </w:rPr>
        <w:t>Unless one of the trustees is authorised by the remaining trustee or trustees, all the trustees must be joined in suing and all must be joined when action is instituted against a trust….</w:t>
      </w:r>
    </w:p>
    <w:p w:rsidR="00D908BA" w:rsidRPr="005E5161" w:rsidRDefault="00D908BA" w:rsidP="00D908BA">
      <w:pPr>
        <w:spacing w:line="360" w:lineRule="auto"/>
        <w:ind w:left="1440"/>
        <w:jc w:val="both"/>
        <w:rPr>
          <w:b/>
        </w:rPr>
      </w:pPr>
    </w:p>
    <w:p w:rsidR="006E0258" w:rsidRDefault="006E0258" w:rsidP="00D908BA">
      <w:pPr>
        <w:spacing w:line="360" w:lineRule="auto"/>
        <w:ind w:left="1440"/>
        <w:jc w:val="both"/>
        <w:rPr>
          <w:b/>
        </w:rPr>
      </w:pPr>
      <w:r w:rsidRPr="005E5161">
        <w:rPr>
          <w:b/>
        </w:rPr>
        <w:t xml:space="preserve">In legal proceedings trustees must act </w:t>
      </w:r>
      <w:r w:rsidRPr="005E5161">
        <w:rPr>
          <w:b/>
          <w:i/>
        </w:rPr>
        <w:t xml:space="preserve">nomine </w:t>
      </w:r>
      <w:proofErr w:type="spellStart"/>
      <w:r w:rsidRPr="005E5161">
        <w:rPr>
          <w:b/>
          <w:i/>
        </w:rPr>
        <w:t>officii</w:t>
      </w:r>
      <w:proofErr w:type="spellEnd"/>
      <w:r w:rsidRPr="005E5161">
        <w:rPr>
          <w:b/>
        </w:rPr>
        <w:t xml:space="preserve"> and cannot act in their private capacities.”</w:t>
      </w:r>
    </w:p>
    <w:p w:rsidR="00686DA4" w:rsidRPr="005E5161" w:rsidRDefault="00686DA4" w:rsidP="006E0258">
      <w:pPr>
        <w:spacing w:line="360" w:lineRule="auto"/>
        <w:ind w:left="720"/>
        <w:jc w:val="both"/>
        <w:rPr>
          <w:b/>
        </w:rPr>
      </w:pPr>
    </w:p>
    <w:p w:rsidR="006E0258" w:rsidRPr="00297A47" w:rsidRDefault="006E0258" w:rsidP="00D908BA">
      <w:pPr>
        <w:spacing w:line="480" w:lineRule="auto"/>
        <w:ind w:left="720"/>
        <w:jc w:val="both"/>
        <w:rPr>
          <w:sz w:val="26"/>
          <w:szCs w:val="26"/>
        </w:rPr>
      </w:pPr>
      <w:r w:rsidRPr="00297A47">
        <w:rPr>
          <w:sz w:val="26"/>
          <w:szCs w:val="26"/>
        </w:rPr>
        <w:t xml:space="preserve">See </w:t>
      </w:r>
      <w:proofErr w:type="spellStart"/>
      <w:r w:rsidRPr="00297A47">
        <w:rPr>
          <w:i/>
          <w:sz w:val="26"/>
          <w:szCs w:val="26"/>
        </w:rPr>
        <w:t>Rosner</w:t>
      </w:r>
      <w:proofErr w:type="spellEnd"/>
      <w:r w:rsidRPr="00297A47">
        <w:rPr>
          <w:i/>
          <w:sz w:val="26"/>
          <w:szCs w:val="26"/>
        </w:rPr>
        <w:t xml:space="preserve"> v. Lydia </w:t>
      </w:r>
      <w:proofErr w:type="spellStart"/>
      <w:r w:rsidRPr="00297A47">
        <w:rPr>
          <w:i/>
          <w:sz w:val="26"/>
          <w:szCs w:val="26"/>
        </w:rPr>
        <w:t>Swanepoel</w:t>
      </w:r>
      <w:proofErr w:type="spellEnd"/>
      <w:r w:rsidRPr="00297A47">
        <w:rPr>
          <w:i/>
          <w:sz w:val="26"/>
          <w:szCs w:val="26"/>
        </w:rPr>
        <w:t xml:space="preserve"> Trust</w:t>
      </w:r>
      <w:r w:rsidRPr="00297A47">
        <w:rPr>
          <w:sz w:val="26"/>
          <w:szCs w:val="26"/>
        </w:rPr>
        <w:t xml:space="preserve">, 1998 (2) SA 123 (WLD) at 126-127; </w:t>
      </w:r>
      <w:proofErr w:type="spellStart"/>
      <w:r w:rsidRPr="00297A47">
        <w:rPr>
          <w:i/>
          <w:sz w:val="26"/>
          <w:szCs w:val="26"/>
        </w:rPr>
        <w:t>Siboniso</w:t>
      </w:r>
      <w:proofErr w:type="spellEnd"/>
      <w:r w:rsidRPr="00297A47">
        <w:rPr>
          <w:i/>
          <w:sz w:val="26"/>
          <w:szCs w:val="26"/>
        </w:rPr>
        <w:t xml:space="preserve"> Clement Dlamini NO v. Deputy Sheriff Hhohho Region and Swaziland Building Society</w:t>
      </w:r>
      <w:r w:rsidRPr="00297A47">
        <w:rPr>
          <w:sz w:val="26"/>
          <w:szCs w:val="26"/>
        </w:rPr>
        <w:t xml:space="preserve"> Civil Case No. 30/2008 (HC); </w:t>
      </w:r>
      <w:proofErr w:type="spellStart"/>
      <w:r w:rsidRPr="00297A47">
        <w:rPr>
          <w:i/>
          <w:sz w:val="26"/>
          <w:szCs w:val="26"/>
        </w:rPr>
        <w:t>Elphas</w:t>
      </w:r>
      <w:proofErr w:type="spellEnd"/>
      <w:r w:rsidRPr="00297A47">
        <w:rPr>
          <w:i/>
          <w:sz w:val="26"/>
          <w:szCs w:val="26"/>
        </w:rPr>
        <w:t xml:space="preserve"> </w:t>
      </w:r>
      <w:proofErr w:type="spellStart"/>
      <w:r w:rsidRPr="00297A47">
        <w:rPr>
          <w:i/>
          <w:sz w:val="26"/>
          <w:szCs w:val="26"/>
        </w:rPr>
        <w:t>Mabhawodi</w:t>
      </w:r>
      <w:proofErr w:type="spellEnd"/>
      <w:r w:rsidRPr="00297A47">
        <w:rPr>
          <w:i/>
          <w:sz w:val="26"/>
          <w:szCs w:val="26"/>
        </w:rPr>
        <w:t xml:space="preserve"> Dlamini v. </w:t>
      </w:r>
      <w:proofErr w:type="spellStart"/>
      <w:r w:rsidRPr="00297A47">
        <w:rPr>
          <w:i/>
          <w:sz w:val="26"/>
          <w:szCs w:val="26"/>
        </w:rPr>
        <w:t>Thabsile</w:t>
      </w:r>
      <w:proofErr w:type="spellEnd"/>
      <w:r w:rsidRPr="00297A47">
        <w:rPr>
          <w:i/>
          <w:sz w:val="26"/>
          <w:szCs w:val="26"/>
        </w:rPr>
        <w:t xml:space="preserve"> </w:t>
      </w:r>
      <w:proofErr w:type="spellStart"/>
      <w:r w:rsidRPr="00297A47">
        <w:rPr>
          <w:i/>
          <w:sz w:val="26"/>
          <w:szCs w:val="26"/>
        </w:rPr>
        <w:t>Mbali</w:t>
      </w:r>
      <w:proofErr w:type="spellEnd"/>
      <w:r w:rsidRPr="00297A47">
        <w:rPr>
          <w:i/>
          <w:sz w:val="26"/>
          <w:szCs w:val="26"/>
        </w:rPr>
        <w:t xml:space="preserve"> Nkosi and Eight Others</w:t>
      </w:r>
      <w:r w:rsidRPr="00297A47">
        <w:rPr>
          <w:sz w:val="26"/>
          <w:szCs w:val="26"/>
        </w:rPr>
        <w:t xml:space="preserve"> Civil case No. 1582/2012 (HC).</w:t>
      </w:r>
    </w:p>
    <w:p w:rsidR="006E0258" w:rsidRDefault="006E0258" w:rsidP="00D908BA">
      <w:pPr>
        <w:spacing w:line="480" w:lineRule="auto"/>
        <w:ind w:left="720" w:hanging="720"/>
        <w:jc w:val="both"/>
        <w:rPr>
          <w:sz w:val="26"/>
          <w:szCs w:val="26"/>
        </w:rPr>
      </w:pPr>
      <w:r w:rsidRPr="00297A47">
        <w:rPr>
          <w:sz w:val="26"/>
          <w:szCs w:val="26"/>
        </w:rPr>
        <w:lastRenderedPageBreak/>
        <w:t>[2</w:t>
      </w:r>
      <w:r w:rsidR="0045698E">
        <w:rPr>
          <w:sz w:val="26"/>
          <w:szCs w:val="26"/>
        </w:rPr>
        <w:t>5</w:t>
      </w:r>
      <w:r w:rsidRPr="00297A47">
        <w:rPr>
          <w:sz w:val="26"/>
          <w:szCs w:val="26"/>
        </w:rPr>
        <w:t>]</w:t>
      </w:r>
      <w:r w:rsidRPr="00297A47">
        <w:rPr>
          <w:sz w:val="26"/>
          <w:szCs w:val="26"/>
        </w:rPr>
        <w:tab/>
      </w:r>
      <w:proofErr w:type="spellStart"/>
      <w:r w:rsidRPr="00297A47">
        <w:rPr>
          <w:sz w:val="26"/>
          <w:szCs w:val="26"/>
        </w:rPr>
        <w:t>Flemming</w:t>
      </w:r>
      <w:proofErr w:type="spellEnd"/>
      <w:r w:rsidRPr="00297A47">
        <w:rPr>
          <w:sz w:val="26"/>
          <w:szCs w:val="26"/>
        </w:rPr>
        <w:t xml:space="preserve"> DJP in </w:t>
      </w:r>
      <w:proofErr w:type="spellStart"/>
      <w:r w:rsidRPr="00297A47">
        <w:rPr>
          <w:i/>
          <w:sz w:val="26"/>
          <w:szCs w:val="26"/>
        </w:rPr>
        <w:t>Jourbert</w:t>
      </w:r>
      <w:proofErr w:type="spellEnd"/>
      <w:r w:rsidRPr="00297A47">
        <w:rPr>
          <w:i/>
          <w:sz w:val="26"/>
          <w:szCs w:val="26"/>
        </w:rPr>
        <w:t xml:space="preserve"> and Others v. Van </w:t>
      </w:r>
      <w:proofErr w:type="spellStart"/>
      <w:r w:rsidRPr="00297A47">
        <w:rPr>
          <w:i/>
          <w:sz w:val="26"/>
          <w:szCs w:val="26"/>
        </w:rPr>
        <w:t>Rensburg</w:t>
      </w:r>
      <w:proofErr w:type="spellEnd"/>
      <w:r w:rsidRPr="00297A47">
        <w:rPr>
          <w:i/>
          <w:sz w:val="26"/>
          <w:szCs w:val="26"/>
        </w:rPr>
        <w:t xml:space="preserve"> and Others</w:t>
      </w:r>
      <w:r w:rsidRPr="00297A47">
        <w:rPr>
          <w:sz w:val="26"/>
          <w:szCs w:val="26"/>
        </w:rPr>
        <w:t xml:space="preserve"> (supra) at </w:t>
      </w:r>
      <w:proofErr w:type="spellStart"/>
      <w:r w:rsidRPr="00297A47">
        <w:rPr>
          <w:sz w:val="26"/>
          <w:szCs w:val="26"/>
        </w:rPr>
        <w:t>para</w:t>
      </w:r>
      <w:proofErr w:type="spellEnd"/>
      <w:r w:rsidRPr="00297A47">
        <w:rPr>
          <w:sz w:val="26"/>
          <w:szCs w:val="26"/>
        </w:rPr>
        <w:t xml:space="preserve"> 9.3 to 9.5 states the following:</w:t>
      </w:r>
    </w:p>
    <w:p w:rsidR="00686DA4" w:rsidRPr="00297A47" w:rsidRDefault="00686DA4" w:rsidP="006E0258">
      <w:pPr>
        <w:spacing w:line="480" w:lineRule="auto"/>
        <w:jc w:val="both"/>
        <w:rPr>
          <w:sz w:val="26"/>
          <w:szCs w:val="26"/>
        </w:rPr>
      </w:pPr>
    </w:p>
    <w:p w:rsidR="006E0258" w:rsidRDefault="006E0258" w:rsidP="00D908BA">
      <w:pPr>
        <w:spacing w:line="360" w:lineRule="auto"/>
        <w:ind w:left="2160" w:hanging="720"/>
        <w:jc w:val="both"/>
        <w:rPr>
          <w:b/>
        </w:rPr>
      </w:pPr>
      <w:r w:rsidRPr="00B40602">
        <w:rPr>
          <w:b/>
        </w:rPr>
        <w:t xml:space="preserve">“9.3  </w:t>
      </w:r>
      <w:r w:rsidRPr="00B40602">
        <w:rPr>
          <w:b/>
        </w:rPr>
        <w:tab/>
        <w:t xml:space="preserve">Transfer cannot be passed to a trust.  </w:t>
      </w:r>
      <w:proofErr w:type="gramStart"/>
      <w:r w:rsidRPr="00B40602">
        <w:rPr>
          <w:b/>
        </w:rPr>
        <w:t>Th</w:t>
      </w:r>
      <w:r w:rsidR="00412D2C">
        <w:rPr>
          <w:b/>
        </w:rPr>
        <w:t>i</w:t>
      </w:r>
      <w:r w:rsidRPr="00B40602">
        <w:rPr>
          <w:b/>
        </w:rPr>
        <w:t>s</w:t>
      </w:r>
      <w:r w:rsidR="00412D2C">
        <w:rPr>
          <w:b/>
        </w:rPr>
        <w:t xml:space="preserve">  </w:t>
      </w:r>
      <w:r w:rsidRPr="00B40602">
        <w:rPr>
          <w:b/>
        </w:rPr>
        <w:t>is</w:t>
      </w:r>
      <w:proofErr w:type="gramEnd"/>
      <w:r w:rsidR="00412D2C">
        <w:rPr>
          <w:b/>
        </w:rPr>
        <w:t xml:space="preserve"> </w:t>
      </w:r>
      <w:r w:rsidRPr="00B40602">
        <w:rPr>
          <w:b/>
        </w:rPr>
        <w:t xml:space="preserve"> the </w:t>
      </w:r>
      <w:r w:rsidR="00412D2C">
        <w:rPr>
          <w:b/>
        </w:rPr>
        <w:t xml:space="preserve"> </w:t>
      </w:r>
      <w:r w:rsidRPr="00B40602">
        <w:rPr>
          <w:b/>
        </w:rPr>
        <w:t xml:space="preserve">consequence </w:t>
      </w:r>
      <w:r w:rsidR="00412D2C">
        <w:rPr>
          <w:b/>
        </w:rPr>
        <w:t xml:space="preserve"> </w:t>
      </w:r>
      <w:r w:rsidRPr="00B40602">
        <w:rPr>
          <w:b/>
        </w:rPr>
        <w:t>of s 16 of the Deed</w:t>
      </w:r>
      <w:r w:rsidR="00412D2C">
        <w:rPr>
          <w:b/>
        </w:rPr>
        <w:t>s</w:t>
      </w:r>
      <w:r w:rsidRPr="00B40602">
        <w:rPr>
          <w:b/>
        </w:rPr>
        <w:t xml:space="preserve"> Registr</w:t>
      </w:r>
      <w:r w:rsidR="00412D2C">
        <w:rPr>
          <w:b/>
        </w:rPr>
        <w:t>ies</w:t>
      </w:r>
      <w:r w:rsidRPr="00B40602">
        <w:rPr>
          <w:b/>
        </w:rPr>
        <w:t xml:space="preserve"> Act 47 of 1937, which caters only for the conveying of title to another person.  In any event it is at </w:t>
      </w:r>
      <w:r w:rsidR="00412D2C">
        <w:rPr>
          <w:b/>
        </w:rPr>
        <w:t>C</w:t>
      </w:r>
      <w:r w:rsidRPr="00B40602">
        <w:rPr>
          <w:b/>
        </w:rPr>
        <w:t xml:space="preserve">ommon law notionally unacceptable to transfer to something which does not exist.  There is no legal person alongside the contracting parties.  </w:t>
      </w:r>
      <w:r>
        <w:rPr>
          <w:b/>
        </w:rPr>
        <w:t>E</w:t>
      </w:r>
      <w:r w:rsidRPr="00B40602">
        <w:rPr>
          <w:b/>
        </w:rPr>
        <w:t xml:space="preserve">ven in respect of a trust which was not created by contract, despite the result being </w:t>
      </w:r>
      <w:r w:rsidRPr="00B40602">
        <w:rPr>
          <w:b/>
          <w:i/>
        </w:rPr>
        <w:t>sui generis</w:t>
      </w:r>
      <w:r w:rsidRPr="00B40602">
        <w:rPr>
          <w:b/>
        </w:rPr>
        <w:t xml:space="preserve">, it was held in </w:t>
      </w:r>
      <w:r>
        <w:rPr>
          <w:b/>
        </w:rPr>
        <w:t>C</w:t>
      </w:r>
      <w:r w:rsidRPr="00B40602">
        <w:rPr>
          <w:b/>
        </w:rPr>
        <w:t xml:space="preserve">ommissioner for </w:t>
      </w:r>
      <w:r w:rsidRPr="00B40602">
        <w:rPr>
          <w:b/>
          <w:i/>
        </w:rPr>
        <w:t>Inland Revenue v. Friedman and Others NNO</w:t>
      </w:r>
      <w:r w:rsidRPr="00B40602">
        <w:rPr>
          <w:b/>
        </w:rPr>
        <w:t xml:space="preserve"> 1993 (1) SA 353 (AD) at 370 that a trust is not a legal person and that the owner of trust property is the trustee.</w:t>
      </w:r>
    </w:p>
    <w:p w:rsidR="00686DA4" w:rsidRPr="00B40602" w:rsidRDefault="00686DA4" w:rsidP="006E0258">
      <w:pPr>
        <w:spacing w:line="360" w:lineRule="auto"/>
        <w:ind w:left="1440" w:hanging="720"/>
        <w:jc w:val="both"/>
        <w:rPr>
          <w:b/>
        </w:rPr>
      </w:pPr>
    </w:p>
    <w:p w:rsidR="006E0258" w:rsidRDefault="006E0258" w:rsidP="00D908BA">
      <w:pPr>
        <w:spacing w:line="360" w:lineRule="auto"/>
        <w:ind w:left="2160" w:hanging="720"/>
        <w:jc w:val="both"/>
        <w:rPr>
          <w:b/>
        </w:rPr>
      </w:pPr>
      <w:r w:rsidRPr="00B40602">
        <w:rPr>
          <w:b/>
        </w:rPr>
        <w:t>9.4</w:t>
      </w:r>
      <w:r w:rsidRPr="00B40602">
        <w:rPr>
          <w:b/>
        </w:rPr>
        <w:tab/>
        <w:t xml:space="preserve">A person continues to exist even if he happens to become a trustee.  He can take transfer and be owner. When that </w:t>
      </w:r>
      <w:proofErr w:type="gramStart"/>
      <w:r w:rsidRPr="00B40602">
        <w:rPr>
          <w:b/>
        </w:rPr>
        <w:t>happens</w:t>
      </w:r>
      <w:proofErr w:type="gramEnd"/>
      <w:r w:rsidRPr="00B40602">
        <w:rPr>
          <w:b/>
        </w:rPr>
        <w:t xml:space="preserve"> he is the only party vested with the dominium.   Subject to amending legislation (see s 12 of the Trust Property Control Act, 1988), the property is part of his estate when he dies or his estate is sequestrated…. </w:t>
      </w:r>
    </w:p>
    <w:p w:rsidR="00686DA4" w:rsidRPr="00B40602" w:rsidRDefault="00686DA4" w:rsidP="006E0258">
      <w:pPr>
        <w:spacing w:line="360" w:lineRule="auto"/>
        <w:ind w:left="1440" w:hanging="720"/>
        <w:jc w:val="both"/>
        <w:rPr>
          <w:b/>
        </w:rPr>
      </w:pPr>
    </w:p>
    <w:p w:rsidR="006E0258" w:rsidRDefault="006E0258" w:rsidP="00D908BA">
      <w:pPr>
        <w:spacing w:line="360" w:lineRule="auto"/>
        <w:ind w:left="2160" w:hanging="720"/>
        <w:jc w:val="both"/>
        <w:rPr>
          <w:b/>
        </w:rPr>
      </w:pPr>
      <w:r w:rsidRPr="00B40602">
        <w:rPr>
          <w:b/>
        </w:rPr>
        <w:t>9.5</w:t>
      </w:r>
      <w:r w:rsidRPr="00B40602">
        <w:rPr>
          <w:b/>
        </w:rPr>
        <w:tab/>
        <w:t>It follows that a trustee does not hold in a capacity.   He becomes owner as an individual because he is a trustee and as an office-bearer (of a legal institution which does not exist).  He operates as a principal in a contract and not as a functionary or agent …”</w:t>
      </w:r>
    </w:p>
    <w:p w:rsidR="00412D2C" w:rsidRPr="00B40602" w:rsidRDefault="00412D2C" w:rsidP="00D908BA">
      <w:pPr>
        <w:spacing w:line="360" w:lineRule="auto"/>
        <w:ind w:left="2160" w:hanging="720"/>
        <w:jc w:val="both"/>
        <w:rPr>
          <w:b/>
        </w:rPr>
      </w:pPr>
    </w:p>
    <w:p w:rsidR="006E0258" w:rsidRPr="00297A47" w:rsidRDefault="006E0258" w:rsidP="0045698E">
      <w:pPr>
        <w:spacing w:line="480" w:lineRule="auto"/>
        <w:ind w:left="1440" w:hanging="720"/>
        <w:jc w:val="both"/>
        <w:rPr>
          <w:sz w:val="26"/>
          <w:szCs w:val="26"/>
        </w:rPr>
      </w:pPr>
      <w:r w:rsidRPr="00297A47">
        <w:rPr>
          <w:sz w:val="26"/>
          <w:szCs w:val="26"/>
        </w:rPr>
        <w:t>2</w:t>
      </w:r>
      <w:r w:rsidR="0045698E">
        <w:rPr>
          <w:sz w:val="26"/>
          <w:szCs w:val="26"/>
        </w:rPr>
        <w:t>5.1</w:t>
      </w:r>
      <w:r w:rsidRPr="00297A47">
        <w:rPr>
          <w:sz w:val="26"/>
          <w:szCs w:val="26"/>
        </w:rPr>
        <w:tab/>
        <w:t xml:space="preserve">Section 12 of the </w:t>
      </w:r>
      <w:r w:rsidR="00412D2C">
        <w:rPr>
          <w:sz w:val="26"/>
          <w:szCs w:val="26"/>
        </w:rPr>
        <w:t xml:space="preserve">South African Statute, The </w:t>
      </w:r>
      <w:r w:rsidRPr="00297A47">
        <w:rPr>
          <w:sz w:val="26"/>
          <w:szCs w:val="26"/>
        </w:rPr>
        <w:t>Trust Property Control Act, 1998</w:t>
      </w:r>
      <w:r w:rsidR="00D44710">
        <w:rPr>
          <w:sz w:val="26"/>
          <w:szCs w:val="26"/>
        </w:rPr>
        <w:t>,</w:t>
      </w:r>
      <w:r w:rsidRPr="00297A47">
        <w:rPr>
          <w:sz w:val="26"/>
          <w:szCs w:val="26"/>
        </w:rPr>
        <w:t xml:space="preserve"> provide</w:t>
      </w:r>
      <w:r w:rsidR="0045698E">
        <w:rPr>
          <w:sz w:val="26"/>
          <w:szCs w:val="26"/>
        </w:rPr>
        <w:t>s</w:t>
      </w:r>
      <w:r w:rsidRPr="00297A47">
        <w:rPr>
          <w:sz w:val="26"/>
          <w:szCs w:val="26"/>
        </w:rPr>
        <w:t xml:space="preserve"> that “Trust property shall not form part of the personal estate of the trustee except in so far as he as trust beneficiary is entitled to the trust property”.</w:t>
      </w:r>
    </w:p>
    <w:p w:rsidR="00911D8F" w:rsidRDefault="00911D8F" w:rsidP="00D908BA">
      <w:pPr>
        <w:spacing w:line="480" w:lineRule="auto"/>
        <w:ind w:left="720" w:hanging="720"/>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[2</w:t>
      </w:r>
      <w:r w:rsidR="0045698E">
        <w:rPr>
          <w:sz w:val="26"/>
          <w:szCs w:val="26"/>
        </w:rPr>
        <w:t>6</w:t>
      </w:r>
      <w:r w:rsidRPr="00297A47">
        <w:rPr>
          <w:sz w:val="26"/>
          <w:szCs w:val="26"/>
        </w:rPr>
        <w:t>]</w:t>
      </w:r>
      <w:r w:rsidRPr="00297A47">
        <w:rPr>
          <w:sz w:val="26"/>
          <w:szCs w:val="26"/>
        </w:rPr>
        <w:tab/>
        <w:t xml:space="preserve">The judge </w:t>
      </w:r>
      <w:r w:rsidRPr="00FF76D1">
        <w:rPr>
          <w:i/>
          <w:sz w:val="26"/>
          <w:szCs w:val="26"/>
        </w:rPr>
        <w:t>a quo</w:t>
      </w:r>
      <w:r w:rsidRPr="00297A47">
        <w:rPr>
          <w:sz w:val="26"/>
          <w:szCs w:val="26"/>
        </w:rPr>
        <w:t xml:space="preserve"> did not misdirect herself in coming to the conclu</w:t>
      </w:r>
      <w:r w:rsidR="00412D2C">
        <w:rPr>
          <w:sz w:val="26"/>
          <w:szCs w:val="26"/>
        </w:rPr>
        <w:t>s</w:t>
      </w:r>
      <w:r w:rsidRPr="00297A47">
        <w:rPr>
          <w:sz w:val="26"/>
          <w:szCs w:val="26"/>
        </w:rPr>
        <w:t>i</w:t>
      </w:r>
      <w:r w:rsidR="00412D2C">
        <w:rPr>
          <w:sz w:val="26"/>
          <w:szCs w:val="26"/>
        </w:rPr>
        <w:t>o</w:t>
      </w:r>
      <w:r w:rsidRPr="00297A47">
        <w:rPr>
          <w:sz w:val="26"/>
          <w:szCs w:val="26"/>
        </w:rPr>
        <w:t xml:space="preserve">n that </w:t>
      </w:r>
      <w:r w:rsidR="00D44710">
        <w:rPr>
          <w:sz w:val="26"/>
          <w:szCs w:val="26"/>
        </w:rPr>
        <w:t xml:space="preserve">ownership in respect of </w:t>
      </w:r>
      <w:r w:rsidRPr="00297A47">
        <w:rPr>
          <w:sz w:val="26"/>
          <w:szCs w:val="26"/>
        </w:rPr>
        <w:t>immovable property cannot be transferred to a trust.  Such a conclusion is in accord with section 15 of the Deeds Registr</w:t>
      </w:r>
      <w:r w:rsidR="0045698E">
        <w:rPr>
          <w:sz w:val="26"/>
          <w:szCs w:val="26"/>
        </w:rPr>
        <w:t>y</w:t>
      </w:r>
      <w:r w:rsidRPr="00297A47">
        <w:rPr>
          <w:sz w:val="26"/>
          <w:szCs w:val="26"/>
        </w:rPr>
        <w:t xml:space="preserve"> Act.  It is open, however, </w:t>
      </w:r>
      <w:r w:rsidR="00D44710">
        <w:rPr>
          <w:sz w:val="26"/>
          <w:szCs w:val="26"/>
        </w:rPr>
        <w:t xml:space="preserve">for </w:t>
      </w:r>
      <w:r w:rsidRPr="00297A47">
        <w:rPr>
          <w:sz w:val="26"/>
          <w:szCs w:val="26"/>
        </w:rPr>
        <w:t>Parliament to amend section 15 of the Deed Registr</w:t>
      </w:r>
      <w:r w:rsidR="00911D8F">
        <w:rPr>
          <w:sz w:val="26"/>
          <w:szCs w:val="26"/>
        </w:rPr>
        <w:t>y</w:t>
      </w:r>
      <w:r w:rsidRPr="00297A47">
        <w:rPr>
          <w:sz w:val="26"/>
          <w:szCs w:val="26"/>
        </w:rPr>
        <w:t xml:space="preserve"> Act to allow for the transfer of immovable property to a </w:t>
      </w:r>
      <w:r w:rsidR="00911D8F">
        <w:rPr>
          <w:sz w:val="26"/>
          <w:szCs w:val="26"/>
        </w:rPr>
        <w:t>t</w:t>
      </w:r>
      <w:r w:rsidRPr="00297A47">
        <w:rPr>
          <w:sz w:val="26"/>
          <w:szCs w:val="26"/>
        </w:rPr>
        <w:t xml:space="preserve">rust.  Accordingly, I agree with the conclusion reached by the judge </w:t>
      </w:r>
      <w:r w:rsidRPr="00335BD1">
        <w:rPr>
          <w:i/>
          <w:sz w:val="26"/>
          <w:szCs w:val="26"/>
        </w:rPr>
        <w:t>a quo</w:t>
      </w:r>
      <w:r w:rsidRPr="00297A47">
        <w:rPr>
          <w:sz w:val="26"/>
          <w:szCs w:val="26"/>
        </w:rPr>
        <w:t xml:space="preserve"> at </w:t>
      </w:r>
      <w:proofErr w:type="spellStart"/>
      <w:r w:rsidRPr="00297A47">
        <w:rPr>
          <w:sz w:val="26"/>
          <w:szCs w:val="26"/>
        </w:rPr>
        <w:t>para</w:t>
      </w:r>
      <w:proofErr w:type="spellEnd"/>
      <w:r w:rsidRPr="00297A47">
        <w:rPr>
          <w:sz w:val="26"/>
          <w:szCs w:val="26"/>
        </w:rPr>
        <w:t xml:space="preserve"> 28 and 29 of her judgment as follows:</w:t>
      </w:r>
    </w:p>
    <w:p w:rsidR="006E0258" w:rsidRDefault="006E0258" w:rsidP="006E0258">
      <w:pPr>
        <w:spacing w:line="480" w:lineRule="auto"/>
        <w:jc w:val="both"/>
        <w:rPr>
          <w:sz w:val="26"/>
          <w:szCs w:val="26"/>
        </w:rPr>
      </w:pPr>
    </w:p>
    <w:p w:rsidR="006E0258" w:rsidRDefault="006E0258" w:rsidP="00D908BA">
      <w:pPr>
        <w:spacing w:line="360" w:lineRule="auto"/>
        <w:ind w:left="2160" w:hanging="720"/>
        <w:jc w:val="both"/>
        <w:rPr>
          <w:b/>
        </w:rPr>
      </w:pPr>
      <w:r w:rsidRPr="00FF76D1">
        <w:rPr>
          <w:b/>
        </w:rPr>
        <w:t>“28.</w:t>
      </w:r>
      <w:r w:rsidRPr="00FF76D1">
        <w:rPr>
          <w:b/>
        </w:rPr>
        <w:tab/>
      </w:r>
      <w:proofErr w:type="gramStart"/>
      <w:r w:rsidRPr="00FF76D1">
        <w:rPr>
          <w:b/>
        </w:rPr>
        <w:t>The</w:t>
      </w:r>
      <w:proofErr w:type="gramEnd"/>
      <w:r w:rsidRPr="00FF76D1">
        <w:rPr>
          <w:b/>
        </w:rPr>
        <w:t xml:space="preserve"> more prudent course to accord with legal doctrines and the principles of legal concept of trust, is to talk in terms of the trustees whenever that particular relationship is being referred to.   Therefore, the registration of the property subject to that relationship; should not be in the names of the trustees as trustees or registered trustees as the case may be.</w:t>
      </w:r>
    </w:p>
    <w:p w:rsidR="006E0258" w:rsidRPr="00FF76D1" w:rsidRDefault="006E0258" w:rsidP="006E0258">
      <w:pPr>
        <w:spacing w:line="360" w:lineRule="auto"/>
        <w:ind w:left="1440" w:hanging="720"/>
        <w:jc w:val="both"/>
        <w:rPr>
          <w:b/>
        </w:rPr>
      </w:pPr>
    </w:p>
    <w:p w:rsidR="006E0258" w:rsidRPr="00FF76D1" w:rsidRDefault="006E0258" w:rsidP="00D908BA">
      <w:pPr>
        <w:spacing w:line="360" w:lineRule="auto"/>
        <w:ind w:left="2160" w:hanging="720"/>
        <w:jc w:val="both"/>
        <w:rPr>
          <w:b/>
        </w:rPr>
      </w:pPr>
      <w:r w:rsidRPr="00FF76D1">
        <w:rPr>
          <w:b/>
        </w:rPr>
        <w:t>29.</w:t>
      </w:r>
      <w:r w:rsidRPr="00FF76D1">
        <w:rPr>
          <w:b/>
        </w:rPr>
        <w:tab/>
      </w:r>
      <w:proofErr w:type="gramStart"/>
      <w:r w:rsidRPr="00FF76D1">
        <w:rPr>
          <w:b/>
        </w:rPr>
        <w:t>The</w:t>
      </w:r>
      <w:proofErr w:type="gramEnd"/>
      <w:r w:rsidRPr="00FF76D1">
        <w:rPr>
          <w:b/>
        </w:rPr>
        <w:t xml:space="preserve"> prevailing practice in Swaziland of registering property in the name of trusts is therefore</w:t>
      </w:r>
      <w:r w:rsidR="00412D2C">
        <w:rPr>
          <w:b/>
        </w:rPr>
        <w:t>,</w:t>
      </w:r>
      <w:r w:rsidRPr="00FF76D1">
        <w:rPr>
          <w:b/>
        </w:rPr>
        <w:t xml:space="preserve"> in the light of the </w:t>
      </w:r>
      <w:proofErr w:type="spellStart"/>
      <w:r w:rsidRPr="00FF76D1">
        <w:rPr>
          <w:b/>
        </w:rPr>
        <w:t>aforegoing</w:t>
      </w:r>
      <w:proofErr w:type="spellEnd"/>
      <w:r w:rsidR="00412D2C">
        <w:rPr>
          <w:b/>
        </w:rPr>
        <w:t>,</w:t>
      </w:r>
      <w:r w:rsidRPr="00FF76D1">
        <w:rPr>
          <w:b/>
        </w:rPr>
        <w:t xml:space="preserve"> not correct and does not find support in law.”</w:t>
      </w:r>
    </w:p>
    <w:p w:rsidR="006E0258" w:rsidRPr="00297A47" w:rsidRDefault="006E0258" w:rsidP="006E0258">
      <w:pPr>
        <w:spacing w:line="480" w:lineRule="auto"/>
        <w:jc w:val="both"/>
        <w:rPr>
          <w:sz w:val="26"/>
          <w:szCs w:val="26"/>
        </w:rPr>
      </w:pPr>
    </w:p>
    <w:p w:rsidR="006E0258" w:rsidRDefault="006E0258" w:rsidP="00D908BA">
      <w:pPr>
        <w:spacing w:line="480" w:lineRule="auto"/>
        <w:ind w:left="720" w:hanging="720"/>
        <w:jc w:val="both"/>
        <w:rPr>
          <w:sz w:val="26"/>
          <w:szCs w:val="26"/>
        </w:rPr>
      </w:pPr>
      <w:r w:rsidRPr="00297A47">
        <w:rPr>
          <w:sz w:val="26"/>
          <w:szCs w:val="26"/>
        </w:rPr>
        <w:t>[</w:t>
      </w:r>
      <w:r w:rsidR="00412D2C">
        <w:rPr>
          <w:sz w:val="26"/>
          <w:szCs w:val="26"/>
        </w:rPr>
        <w:t>2</w:t>
      </w:r>
      <w:r w:rsidR="00911D8F">
        <w:rPr>
          <w:sz w:val="26"/>
          <w:szCs w:val="26"/>
        </w:rPr>
        <w:t>7</w:t>
      </w:r>
      <w:r w:rsidRPr="00297A47">
        <w:rPr>
          <w:sz w:val="26"/>
          <w:szCs w:val="26"/>
        </w:rPr>
        <w:t>]</w:t>
      </w:r>
      <w:r w:rsidRPr="00297A47">
        <w:rPr>
          <w:sz w:val="26"/>
          <w:szCs w:val="26"/>
        </w:rPr>
        <w:tab/>
      </w:r>
      <w:r w:rsidR="00C7306A">
        <w:rPr>
          <w:sz w:val="26"/>
          <w:szCs w:val="26"/>
        </w:rPr>
        <w:t>In view of t</w:t>
      </w:r>
      <w:r w:rsidRPr="00297A47">
        <w:rPr>
          <w:sz w:val="26"/>
          <w:szCs w:val="26"/>
        </w:rPr>
        <w:t>he</w:t>
      </w:r>
      <w:r w:rsidR="00D44710">
        <w:rPr>
          <w:sz w:val="26"/>
          <w:szCs w:val="26"/>
        </w:rPr>
        <w:t xml:space="preserve"> conduct of the</w:t>
      </w:r>
      <w:r w:rsidRPr="00297A47">
        <w:rPr>
          <w:sz w:val="26"/>
          <w:szCs w:val="26"/>
        </w:rPr>
        <w:t xml:space="preserve"> respondents in trying to avoid the consequences of the contract</w:t>
      </w:r>
      <w:r w:rsidR="00D44710">
        <w:rPr>
          <w:sz w:val="26"/>
          <w:szCs w:val="26"/>
        </w:rPr>
        <w:t xml:space="preserve"> which</w:t>
      </w:r>
      <w:r w:rsidRPr="00297A47">
        <w:rPr>
          <w:sz w:val="26"/>
          <w:szCs w:val="26"/>
        </w:rPr>
        <w:t xml:space="preserve"> </w:t>
      </w:r>
      <w:r w:rsidR="00412D2C">
        <w:rPr>
          <w:sz w:val="26"/>
          <w:szCs w:val="26"/>
        </w:rPr>
        <w:t xml:space="preserve">they freely and voluntarily concluded </w:t>
      </w:r>
      <w:r w:rsidRPr="00297A47">
        <w:rPr>
          <w:sz w:val="26"/>
          <w:szCs w:val="26"/>
        </w:rPr>
        <w:t>by</w:t>
      </w:r>
      <w:r w:rsidR="00412D2C">
        <w:rPr>
          <w:sz w:val="26"/>
          <w:szCs w:val="26"/>
        </w:rPr>
        <w:t xml:space="preserve"> hiding behind</w:t>
      </w:r>
      <w:r w:rsidRPr="00297A47">
        <w:rPr>
          <w:sz w:val="26"/>
          <w:szCs w:val="26"/>
        </w:rPr>
        <w:t xml:space="preserve"> legal technicalities</w:t>
      </w:r>
      <w:r w:rsidR="00335BD1">
        <w:rPr>
          <w:sz w:val="26"/>
          <w:szCs w:val="26"/>
        </w:rPr>
        <w:t>,</w:t>
      </w:r>
      <w:r w:rsidRPr="00297A47">
        <w:rPr>
          <w:sz w:val="26"/>
          <w:szCs w:val="26"/>
        </w:rPr>
        <w:t xml:space="preserve"> it can only be fair </w:t>
      </w:r>
      <w:r w:rsidR="00412D2C">
        <w:rPr>
          <w:sz w:val="26"/>
          <w:szCs w:val="26"/>
        </w:rPr>
        <w:t xml:space="preserve">and just </w:t>
      </w:r>
      <w:r w:rsidRPr="00297A47">
        <w:rPr>
          <w:sz w:val="26"/>
          <w:szCs w:val="26"/>
        </w:rPr>
        <w:t>that each party bears its own costs.</w:t>
      </w:r>
    </w:p>
    <w:p w:rsidR="00412D2C" w:rsidRDefault="00412D2C" w:rsidP="00D908BA">
      <w:pPr>
        <w:spacing w:line="480" w:lineRule="auto"/>
        <w:ind w:left="720" w:hanging="720"/>
        <w:jc w:val="both"/>
        <w:rPr>
          <w:sz w:val="26"/>
          <w:szCs w:val="26"/>
        </w:rPr>
      </w:pPr>
    </w:p>
    <w:p w:rsidR="00911D8F" w:rsidRDefault="00911D8F" w:rsidP="00D908BA">
      <w:pPr>
        <w:spacing w:line="480" w:lineRule="auto"/>
        <w:ind w:left="720" w:hanging="720"/>
        <w:jc w:val="both"/>
        <w:rPr>
          <w:sz w:val="26"/>
          <w:szCs w:val="26"/>
        </w:rPr>
      </w:pPr>
    </w:p>
    <w:p w:rsidR="006E0258" w:rsidRDefault="006E0258" w:rsidP="006E0258">
      <w:pPr>
        <w:spacing w:line="480" w:lineRule="auto"/>
        <w:jc w:val="both"/>
        <w:rPr>
          <w:sz w:val="26"/>
          <w:szCs w:val="26"/>
        </w:rPr>
      </w:pPr>
      <w:r w:rsidRPr="00297A47">
        <w:rPr>
          <w:sz w:val="26"/>
          <w:szCs w:val="26"/>
        </w:rPr>
        <w:lastRenderedPageBreak/>
        <w:t xml:space="preserve"> [</w:t>
      </w:r>
      <w:r w:rsidR="00911D8F">
        <w:rPr>
          <w:sz w:val="26"/>
          <w:szCs w:val="26"/>
        </w:rPr>
        <w:t>28</w:t>
      </w:r>
      <w:r w:rsidRPr="00297A47">
        <w:rPr>
          <w:sz w:val="26"/>
          <w:szCs w:val="26"/>
        </w:rPr>
        <w:t>]</w:t>
      </w:r>
      <w:r w:rsidRPr="00297A47">
        <w:rPr>
          <w:sz w:val="26"/>
          <w:szCs w:val="26"/>
        </w:rPr>
        <w:tab/>
        <w:t>Accordingly, I make the following order:</w:t>
      </w:r>
    </w:p>
    <w:p w:rsidR="0044165D" w:rsidRPr="00297A47" w:rsidRDefault="0044165D" w:rsidP="006E0258">
      <w:pPr>
        <w:spacing w:line="480" w:lineRule="auto"/>
        <w:jc w:val="both"/>
        <w:rPr>
          <w:sz w:val="26"/>
          <w:szCs w:val="26"/>
        </w:rPr>
      </w:pPr>
    </w:p>
    <w:p w:rsidR="006E0258" w:rsidRPr="00297A47" w:rsidRDefault="006E0258" w:rsidP="006E0258">
      <w:pPr>
        <w:spacing w:line="480" w:lineRule="auto"/>
        <w:jc w:val="both"/>
        <w:rPr>
          <w:sz w:val="26"/>
          <w:szCs w:val="26"/>
        </w:rPr>
      </w:pPr>
      <w:r w:rsidRPr="00297A47">
        <w:rPr>
          <w:sz w:val="26"/>
          <w:szCs w:val="26"/>
        </w:rPr>
        <w:tab/>
      </w:r>
      <w:r w:rsidR="00D908BA">
        <w:rPr>
          <w:sz w:val="26"/>
          <w:szCs w:val="26"/>
        </w:rPr>
        <w:tab/>
      </w:r>
      <w:r w:rsidRPr="00297A47">
        <w:rPr>
          <w:sz w:val="26"/>
          <w:szCs w:val="26"/>
        </w:rPr>
        <w:t>(</w:t>
      </w:r>
      <w:proofErr w:type="spellStart"/>
      <w:r w:rsidRPr="00297A47">
        <w:rPr>
          <w:sz w:val="26"/>
          <w:szCs w:val="26"/>
        </w:rPr>
        <w:t>i</w:t>
      </w:r>
      <w:proofErr w:type="spellEnd"/>
      <w:r w:rsidRPr="00297A47">
        <w:rPr>
          <w:sz w:val="26"/>
          <w:szCs w:val="26"/>
        </w:rPr>
        <w:t>)</w:t>
      </w:r>
      <w:r w:rsidRPr="00297A47">
        <w:rPr>
          <w:sz w:val="26"/>
          <w:szCs w:val="26"/>
        </w:rPr>
        <w:tab/>
        <w:t>The appeal is dismissed.</w:t>
      </w:r>
    </w:p>
    <w:p w:rsidR="006E0258" w:rsidRPr="00297A47" w:rsidRDefault="006E0258" w:rsidP="006E0258">
      <w:pPr>
        <w:spacing w:line="480" w:lineRule="auto"/>
        <w:jc w:val="both"/>
        <w:rPr>
          <w:sz w:val="26"/>
          <w:szCs w:val="26"/>
        </w:rPr>
      </w:pPr>
      <w:r w:rsidRPr="00297A47">
        <w:rPr>
          <w:sz w:val="26"/>
          <w:szCs w:val="26"/>
        </w:rPr>
        <w:tab/>
      </w:r>
      <w:r w:rsidR="00D908BA">
        <w:rPr>
          <w:sz w:val="26"/>
          <w:szCs w:val="26"/>
        </w:rPr>
        <w:tab/>
      </w:r>
      <w:r w:rsidRPr="00297A47">
        <w:rPr>
          <w:sz w:val="26"/>
          <w:szCs w:val="26"/>
        </w:rPr>
        <w:t>(ii)</w:t>
      </w:r>
      <w:r w:rsidRPr="00297A47">
        <w:rPr>
          <w:sz w:val="26"/>
          <w:szCs w:val="26"/>
        </w:rPr>
        <w:tab/>
        <w:t>Each party to bear its own costs.</w:t>
      </w:r>
    </w:p>
    <w:p w:rsidR="00673154" w:rsidRDefault="00673154" w:rsidP="00673154">
      <w:pPr>
        <w:spacing w:line="360" w:lineRule="auto"/>
        <w:jc w:val="both"/>
        <w:rPr>
          <w:sz w:val="26"/>
          <w:szCs w:val="26"/>
          <w:u w:val="single"/>
          <w:lang w:val="en-ZA"/>
        </w:rPr>
      </w:pPr>
    </w:p>
    <w:p w:rsidR="00673154" w:rsidRPr="00A80EF9" w:rsidRDefault="00673154" w:rsidP="00673154">
      <w:pPr>
        <w:spacing w:line="360" w:lineRule="auto"/>
        <w:jc w:val="both"/>
        <w:rPr>
          <w:sz w:val="26"/>
          <w:szCs w:val="26"/>
          <w:u w:val="single"/>
          <w:lang w:val="en-ZA"/>
        </w:rPr>
      </w:pPr>
    </w:p>
    <w:p w:rsidR="00673154" w:rsidRPr="00A80EF9" w:rsidRDefault="00E5254B" w:rsidP="00673154">
      <w:pPr>
        <w:spacing w:line="360" w:lineRule="auto"/>
        <w:ind w:firstLine="4320"/>
        <w:jc w:val="both"/>
        <w:rPr>
          <w:sz w:val="26"/>
          <w:szCs w:val="26"/>
          <w:u w:val="single"/>
          <w:lang w:val="en-ZA"/>
        </w:rPr>
      </w:pPr>
      <w:r w:rsidRPr="00E5254B">
        <w:rPr>
          <w:sz w:val="26"/>
          <w:szCs w:val="26"/>
        </w:rPr>
        <w:pict>
          <v:line id="_x0000_s1028" style="position:absolute;left:0;text-align:left;z-index:251663360" from="286.5pt,11.8pt" to="430.5pt,11.8pt"/>
        </w:pict>
      </w:r>
      <w:r w:rsidR="00673154" w:rsidRPr="00A80EF9">
        <w:rPr>
          <w:sz w:val="26"/>
          <w:szCs w:val="26"/>
          <w:u w:val="single"/>
          <w:lang w:val="en-ZA"/>
        </w:rPr>
        <w:t xml:space="preserve">                      </w:t>
      </w:r>
    </w:p>
    <w:p w:rsidR="00673154" w:rsidRPr="00A80EF9" w:rsidRDefault="00673154" w:rsidP="00673154">
      <w:pPr>
        <w:spacing w:line="360" w:lineRule="auto"/>
        <w:ind w:left="1440" w:firstLine="4320"/>
        <w:jc w:val="both"/>
        <w:rPr>
          <w:sz w:val="26"/>
          <w:szCs w:val="26"/>
        </w:rPr>
      </w:pPr>
      <w:r w:rsidRPr="00A80EF9">
        <w:rPr>
          <w:sz w:val="26"/>
          <w:szCs w:val="26"/>
        </w:rPr>
        <w:t>M.C.B. MAPHALALA</w:t>
      </w:r>
    </w:p>
    <w:p w:rsidR="00673154" w:rsidRDefault="00673154" w:rsidP="00673154">
      <w:pPr>
        <w:spacing w:line="360" w:lineRule="auto"/>
        <w:ind w:left="2160" w:firstLine="3600"/>
        <w:jc w:val="both"/>
        <w:rPr>
          <w:sz w:val="26"/>
          <w:szCs w:val="26"/>
          <w:u w:val="single"/>
        </w:rPr>
      </w:pPr>
      <w:r w:rsidRPr="00A80EF9">
        <w:rPr>
          <w:sz w:val="26"/>
          <w:szCs w:val="26"/>
        </w:rPr>
        <w:t>JUSTICE OF APPEAL</w:t>
      </w:r>
      <w:r w:rsidRPr="00A80EF9">
        <w:rPr>
          <w:sz w:val="26"/>
          <w:szCs w:val="26"/>
          <w:u w:val="single"/>
        </w:rPr>
        <w:t xml:space="preserve">                   </w:t>
      </w:r>
    </w:p>
    <w:p w:rsidR="00673154" w:rsidRDefault="00673154" w:rsidP="00673154">
      <w:pPr>
        <w:spacing w:line="360" w:lineRule="auto"/>
        <w:ind w:left="2160" w:firstLine="3600"/>
        <w:jc w:val="both"/>
        <w:rPr>
          <w:sz w:val="26"/>
          <w:szCs w:val="26"/>
          <w:u w:val="single"/>
        </w:rPr>
      </w:pPr>
      <w:r w:rsidRPr="00A80EF9">
        <w:rPr>
          <w:sz w:val="26"/>
          <w:szCs w:val="26"/>
          <w:u w:val="single"/>
        </w:rPr>
        <w:t xml:space="preserve">   </w:t>
      </w:r>
    </w:p>
    <w:p w:rsidR="00673154" w:rsidRPr="00A80EF9" w:rsidRDefault="00E5254B" w:rsidP="00673154">
      <w:pPr>
        <w:spacing w:line="360" w:lineRule="auto"/>
        <w:ind w:firstLine="4320"/>
        <w:jc w:val="both"/>
        <w:rPr>
          <w:sz w:val="26"/>
          <w:szCs w:val="26"/>
          <w:u w:val="single"/>
        </w:rPr>
      </w:pPr>
      <w:r w:rsidRPr="00E5254B">
        <w:rPr>
          <w:sz w:val="26"/>
          <w:szCs w:val="26"/>
        </w:rPr>
        <w:pict>
          <v:line id="_x0000_s1029" style="position:absolute;left:0;text-align:left;z-index:251664384" from="286.5pt,21.7pt" to="430.5pt,21.7pt"/>
        </w:pict>
      </w:r>
    </w:p>
    <w:p w:rsidR="00673154" w:rsidRPr="00A80EF9" w:rsidRDefault="00673154" w:rsidP="00673154">
      <w:pPr>
        <w:jc w:val="both"/>
        <w:rPr>
          <w:b/>
          <w:sz w:val="26"/>
          <w:szCs w:val="26"/>
        </w:rPr>
      </w:pPr>
      <w:r w:rsidRPr="00A80EF9">
        <w:rPr>
          <w:sz w:val="26"/>
          <w:szCs w:val="26"/>
        </w:rPr>
        <w:t>I agree</w:t>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673154">
        <w:rPr>
          <w:sz w:val="26"/>
          <w:szCs w:val="26"/>
        </w:rPr>
        <w:t>M.M. RAMODIBEDI</w:t>
      </w:r>
    </w:p>
    <w:p w:rsidR="00673154" w:rsidRPr="00A80EF9" w:rsidRDefault="00673154" w:rsidP="00673154">
      <w:pPr>
        <w:spacing w:line="360" w:lineRule="auto"/>
        <w:jc w:val="both"/>
        <w:rPr>
          <w:sz w:val="26"/>
          <w:szCs w:val="26"/>
          <w:lang w:val="en-ZA"/>
        </w:rPr>
      </w:pP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Pr>
          <w:sz w:val="26"/>
          <w:szCs w:val="26"/>
        </w:rPr>
        <w:t xml:space="preserve">CHIEF </w:t>
      </w:r>
      <w:r w:rsidRPr="00A80EF9">
        <w:rPr>
          <w:sz w:val="26"/>
          <w:szCs w:val="26"/>
        </w:rPr>
        <w:t xml:space="preserve">JUSTICE </w:t>
      </w:r>
    </w:p>
    <w:p w:rsidR="00673154" w:rsidRPr="00A80EF9" w:rsidRDefault="00673154" w:rsidP="00673154">
      <w:pPr>
        <w:spacing w:line="360" w:lineRule="auto"/>
        <w:ind w:firstLine="4320"/>
        <w:jc w:val="both"/>
        <w:rPr>
          <w:sz w:val="26"/>
          <w:szCs w:val="26"/>
          <w:u w:val="single"/>
        </w:rPr>
      </w:pPr>
      <w:r w:rsidRPr="00A80EF9">
        <w:rPr>
          <w:sz w:val="26"/>
          <w:szCs w:val="26"/>
          <w:u w:val="single"/>
        </w:rPr>
        <w:t xml:space="preserve">      </w:t>
      </w:r>
    </w:p>
    <w:p w:rsidR="00673154" w:rsidRPr="00A80EF9" w:rsidRDefault="00E5254B" w:rsidP="00673154">
      <w:pPr>
        <w:spacing w:line="360" w:lineRule="auto"/>
        <w:ind w:firstLine="4320"/>
        <w:jc w:val="both"/>
        <w:rPr>
          <w:sz w:val="26"/>
          <w:szCs w:val="26"/>
          <w:u w:val="single"/>
        </w:rPr>
      </w:pPr>
      <w:r w:rsidRPr="00E5254B">
        <w:rPr>
          <w:sz w:val="26"/>
          <w:szCs w:val="26"/>
        </w:rPr>
        <w:pict>
          <v:line id="_x0000_s1030" style="position:absolute;left:0;text-align:left;z-index:251665408" from="290.25pt,17.4pt" to="434.25pt,17.4pt"/>
        </w:pict>
      </w:r>
      <w:r w:rsidR="00673154" w:rsidRPr="00A80EF9">
        <w:rPr>
          <w:sz w:val="26"/>
          <w:szCs w:val="26"/>
          <w:u w:val="single"/>
        </w:rPr>
        <w:t xml:space="preserve">     </w:t>
      </w:r>
    </w:p>
    <w:p w:rsidR="00673154" w:rsidRPr="00A80EF9" w:rsidRDefault="00673154" w:rsidP="00673154">
      <w:pPr>
        <w:jc w:val="both"/>
        <w:rPr>
          <w:b/>
          <w:sz w:val="26"/>
          <w:szCs w:val="26"/>
          <w:lang w:val="en-ZA"/>
        </w:rPr>
      </w:pPr>
      <w:r w:rsidRPr="00A80EF9">
        <w:rPr>
          <w:sz w:val="26"/>
          <w:szCs w:val="26"/>
        </w:rPr>
        <w:t>I agree</w:t>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rPr>
        <w:tab/>
      </w:r>
      <w:r w:rsidRPr="00A80EF9">
        <w:rPr>
          <w:sz w:val="26"/>
          <w:szCs w:val="26"/>
          <w:lang w:val="en-ZA"/>
        </w:rPr>
        <w:t>S.A. MOORE, JA</w:t>
      </w:r>
    </w:p>
    <w:p w:rsidR="00673154" w:rsidRDefault="00673154" w:rsidP="00673154">
      <w:pPr>
        <w:spacing w:line="360" w:lineRule="auto"/>
        <w:jc w:val="both"/>
        <w:rPr>
          <w:sz w:val="26"/>
          <w:szCs w:val="26"/>
          <w:u w:val="single"/>
        </w:rPr>
      </w:pPr>
      <w:r w:rsidRPr="00A80EF9">
        <w:rPr>
          <w:sz w:val="26"/>
          <w:szCs w:val="26"/>
          <w:lang w:val="en-US"/>
        </w:rPr>
        <w:tab/>
      </w:r>
      <w:r w:rsidRPr="00A80EF9">
        <w:rPr>
          <w:sz w:val="26"/>
          <w:szCs w:val="26"/>
          <w:lang w:val="en-US"/>
        </w:rPr>
        <w:tab/>
      </w:r>
      <w:r w:rsidRPr="00A80EF9">
        <w:rPr>
          <w:sz w:val="26"/>
          <w:szCs w:val="26"/>
          <w:lang w:val="en-US"/>
        </w:rPr>
        <w:tab/>
      </w:r>
      <w:r w:rsidRPr="00A80EF9">
        <w:rPr>
          <w:sz w:val="26"/>
          <w:szCs w:val="26"/>
          <w:lang w:val="en-US"/>
        </w:rPr>
        <w:tab/>
      </w:r>
      <w:r w:rsidRPr="00A80EF9">
        <w:rPr>
          <w:sz w:val="26"/>
          <w:szCs w:val="26"/>
          <w:lang w:val="en-US"/>
        </w:rPr>
        <w:tab/>
      </w:r>
      <w:r w:rsidRPr="00A80EF9">
        <w:rPr>
          <w:sz w:val="26"/>
          <w:szCs w:val="26"/>
          <w:lang w:val="en-US"/>
        </w:rPr>
        <w:tab/>
      </w:r>
      <w:r w:rsidRPr="00A80EF9">
        <w:rPr>
          <w:sz w:val="26"/>
          <w:szCs w:val="26"/>
          <w:lang w:val="en-US"/>
        </w:rPr>
        <w:tab/>
      </w:r>
      <w:r w:rsidRPr="00A80EF9">
        <w:rPr>
          <w:sz w:val="26"/>
          <w:szCs w:val="26"/>
          <w:lang w:val="en-US"/>
        </w:rPr>
        <w:tab/>
      </w:r>
      <w:r w:rsidRPr="00A80EF9">
        <w:rPr>
          <w:sz w:val="26"/>
          <w:szCs w:val="26"/>
        </w:rPr>
        <w:t>JUSTICE OF APPEAL</w:t>
      </w:r>
      <w:r w:rsidRPr="00A80EF9">
        <w:rPr>
          <w:sz w:val="26"/>
          <w:szCs w:val="26"/>
          <w:u w:val="single"/>
        </w:rPr>
        <w:t xml:space="preserve">                 </w:t>
      </w:r>
    </w:p>
    <w:p w:rsidR="00673154" w:rsidRPr="00A80EF9" w:rsidRDefault="00673154" w:rsidP="00673154">
      <w:pPr>
        <w:spacing w:line="360" w:lineRule="auto"/>
        <w:ind w:firstLine="4320"/>
        <w:jc w:val="both"/>
        <w:rPr>
          <w:sz w:val="26"/>
          <w:szCs w:val="26"/>
          <w:u w:val="single"/>
        </w:rPr>
      </w:pPr>
    </w:p>
    <w:p w:rsidR="00673154" w:rsidRPr="00A80EF9" w:rsidRDefault="00673154" w:rsidP="00673154">
      <w:pPr>
        <w:spacing w:line="360" w:lineRule="auto"/>
        <w:ind w:firstLine="4320"/>
        <w:jc w:val="both"/>
        <w:rPr>
          <w:sz w:val="26"/>
          <w:szCs w:val="26"/>
          <w:u w:val="single"/>
        </w:rPr>
      </w:pPr>
    </w:p>
    <w:p w:rsidR="006E0258" w:rsidRPr="00297A47" w:rsidRDefault="006E0258" w:rsidP="006E0258">
      <w:pPr>
        <w:spacing w:line="480" w:lineRule="auto"/>
        <w:jc w:val="both"/>
        <w:rPr>
          <w:sz w:val="26"/>
          <w:szCs w:val="26"/>
        </w:rPr>
      </w:pPr>
    </w:p>
    <w:p w:rsidR="00241DE3" w:rsidRDefault="006E0258" w:rsidP="00241DE3">
      <w:pPr>
        <w:jc w:val="both"/>
        <w:rPr>
          <w:sz w:val="26"/>
          <w:szCs w:val="26"/>
        </w:rPr>
      </w:pPr>
      <w:r w:rsidRPr="00297A47">
        <w:rPr>
          <w:sz w:val="26"/>
          <w:szCs w:val="26"/>
        </w:rPr>
        <w:t>For appellant</w:t>
      </w:r>
      <w:r w:rsidR="00C7306A">
        <w:rPr>
          <w:sz w:val="26"/>
          <w:szCs w:val="26"/>
        </w:rPr>
        <w:t>s</w:t>
      </w:r>
      <w:r w:rsidRPr="00297A47">
        <w:rPr>
          <w:sz w:val="26"/>
          <w:szCs w:val="26"/>
        </w:rPr>
        <w:tab/>
      </w:r>
      <w:r w:rsidR="00241DE3">
        <w:rPr>
          <w:sz w:val="26"/>
          <w:szCs w:val="26"/>
        </w:rPr>
        <w:tab/>
      </w:r>
      <w:r w:rsidR="00241DE3">
        <w:rPr>
          <w:sz w:val="26"/>
          <w:szCs w:val="26"/>
        </w:rPr>
        <w:tab/>
      </w:r>
      <w:r w:rsidR="00241DE3">
        <w:rPr>
          <w:sz w:val="26"/>
          <w:szCs w:val="26"/>
        </w:rPr>
        <w:tab/>
      </w:r>
      <w:r w:rsidR="00241DE3">
        <w:rPr>
          <w:sz w:val="26"/>
          <w:szCs w:val="26"/>
        </w:rPr>
        <w:tab/>
      </w:r>
      <w:r w:rsidR="00241DE3">
        <w:rPr>
          <w:sz w:val="26"/>
          <w:szCs w:val="26"/>
        </w:rPr>
        <w:tab/>
      </w:r>
      <w:proofErr w:type="gramStart"/>
      <w:r w:rsidRPr="00297A47">
        <w:rPr>
          <w:sz w:val="26"/>
          <w:szCs w:val="26"/>
        </w:rPr>
        <w:t>Advocate</w:t>
      </w:r>
      <w:proofErr w:type="gramEnd"/>
      <w:r w:rsidRPr="00297A47">
        <w:rPr>
          <w:sz w:val="26"/>
          <w:szCs w:val="26"/>
        </w:rPr>
        <w:t xml:space="preserve"> </w:t>
      </w:r>
      <w:r w:rsidR="00C7306A">
        <w:rPr>
          <w:sz w:val="26"/>
          <w:szCs w:val="26"/>
        </w:rPr>
        <w:t xml:space="preserve">B. </w:t>
      </w:r>
      <w:proofErr w:type="spellStart"/>
      <w:r w:rsidRPr="00297A47">
        <w:rPr>
          <w:sz w:val="26"/>
          <w:szCs w:val="26"/>
        </w:rPr>
        <w:t>Bedd</w:t>
      </w:r>
      <w:r w:rsidR="00C7306A">
        <w:rPr>
          <w:sz w:val="26"/>
          <w:szCs w:val="26"/>
        </w:rPr>
        <w:t>e</w:t>
      </w:r>
      <w:r w:rsidRPr="00297A47">
        <w:rPr>
          <w:sz w:val="26"/>
          <w:szCs w:val="26"/>
        </w:rPr>
        <w:t>rson</w:t>
      </w:r>
      <w:proofErr w:type="spellEnd"/>
    </w:p>
    <w:p w:rsidR="00241DE3" w:rsidRDefault="00241DE3" w:rsidP="00241DE3">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Instructed by </w:t>
      </w:r>
    </w:p>
    <w:p w:rsidR="006E0258" w:rsidRDefault="00241DE3" w:rsidP="00241DE3">
      <w:pPr>
        <w:ind w:left="5040" w:firstLine="720"/>
        <w:jc w:val="both"/>
        <w:rPr>
          <w:sz w:val="26"/>
          <w:szCs w:val="26"/>
        </w:rPr>
      </w:pPr>
      <w:r>
        <w:rPr>
          <w:sz w:val="26"/>
          <w:szCs w:val="26"/>
        </w:rPr>
        <w:t>Attorney Sipho Nkosi</w:t>
      </w:r>
      <w:r w:rsidR="006E0258" w:rsidRPr="00297A47">
        <w:rPr>
          <w:sz w:val="26"/>
          <w:szCs w:val="26"/>
        </w:rPr>
        <w:t xml:space="preserve"> </w:t>
      </w:r>
    </w:p>
    <w:p w:rsidR="00241DE3" w:rsidRPr="00297A47" w:rsidRDefault="00241DE3" w:rsidP="00241DE3">
      <w:pPr>
        <w:jc w:val="both"/>
        <w:rPr>
          <w:sz w:val="26"/>
          <w:szCs w:val="26"/>
        </w:rPr>
      </w:pPr>
    </w:p>
    <w:p w:rsidR="006E0258" w:rsidRPr="00297A47" w:rsidRDefault="006E0258" w:rsidP="006E0258">
      <w:pPr>
        <w:spacing w:line="480" w:lineRule="auto"/>
        <w:jc w:val="both"/>
        <w:rPr>
          <w:sz w:val="26"/>
          <w:szCs w:val="26"/>
        </w:rPr>
      </w:pPr>
      <w:r w:rsidRPr="00297A47">
        <w:rPr>
          <w:sz w:val="26"/>
          <w:szCs w:val="26"/>
        </w:rPr>
        <w:t xml:space="preserve">For </w:t>
      </w:r>
      <w:r w:rsidR="00C7306A">
        <w:rPr>
          <w:sz w:val="26"/>
          <w:szCs w:val="26"/>
        </w:rPr>
        <w:t>1</w:t>
      </w:r>
      <w:r w:rsidR="00C7306A" w:rsidRPr="00C7306A">
        <w:rPr>
          <w:sz w:val="26"/>
          <w:szCs w:val="26"/>
          <w:vertAlign w:val="superscript"/>
        </w:rPr>
        <w:t>st</w:t>
      </w:r>
      <w:r w:rsidR="00C7306A">
        <w:rPr>
          <w:sz w:val="26"/>
          <w:szCs w:val="26"/>
        </w:rPr>
        <w:t xml:space="preserve"> and 2</w:t>
      </w:r>
      <w:r w:rsidR="00C7306A" w:rsidRPr="00C7306A">
        <w:rPr>
          <w:sz w:val="26"/>
          <w:szCs w:val="26"/>
          <w:vertAlign w:val="superscript"/>
        </w:rPr>
        <w:t>nd</w:t>
      </w:r>
      <w:r w:rsidR="00C7306A">
        <w:rPr>
          <w:sz w:val="26"/>
          <w:szCs w:val="26"/>
        </w:rPr>
        <w:t xml:space="preserve"> </w:t>
      </w:r>
      <w:r w:rsidR="00241DE3" w:rsidRPr="00297A47">
        <w:rPr>
          <w:sz w:val="26"/>
          <w:szCs w:val="26"/>
        </w:rPr>
        <w:t>Respondent</w:t>
      </w:r>
      <w:r w:rsidR="00C7306A">
        <w:rPr>
          <w:sz w:val="26"/>
          <w:szCs w:val="26"/>
        </w:rPr>
        <w:t>s</w:t>
      </w:r>
      <w:r w:rsidRPr="00297A47">
        <w:rPr>
          <w:sz w:val="26"/>
          <w:szCs w:val="26"/>
        </w:rPr>
        <w:t xml:space="preserve"> </w:t>
      </w:r>
      <w:r w:rsidR="00241DE3">
        <w:rPr>
          <w:sz w:val="26"/>
          <w:szCs w:val="26"/>
        </w:rPr>
        <w:tab/>
      </w:r>
      <w:r w:rsidR="00241DE3">
        <w:rPr>
          <w:sz w:val="26"/>
          <w:szCs w:val="26"/>
        </w:rPr>
        <w:tab/>
      </w:r>
      <w:r w:rsidR="00241DE3">
        <w:rPr>
          <w:sz w:val="26"/>
          <w:szCs w:val="26"/>
        </w:rPr>
        <w:tab/>
      </w:r>
      <w:r w:rsidR="00241DE3">
        <w:rPr>
          <w:sz w:val="26"/>
          <w:szCs w:val="26"/>
        </w:rPr>
        <w:tab/>
      </w:r>
      <w:r w:rsidRPr="00297A47">
        <w:rPr>
          <w:sz w:val="26"/>
          <w:szCs w:val="26"/>
        </w:rPr>
        <w:t>Attorney S.C. Simelane</w:t>
      </w:r>
    </w:p>
    <w:p w:rsidR="006E0258" w:rsidRPr="00297A47" w:rsidRDefault="006E0258" w:rsidP="006E0258">
      <w:pPr>
        <w:spacing w:line="480" w:lineRule="auto"/>
        <w:jc w:val="both"/>
        <w:rPr>
          <w:sz w:val="26"/>
          <w:szCs w:val="26"/>
        </w:rPr>
      </w:pPr>
    </w:p>
    <w:p w:rsidR="006E0258" w:rsidRPr="00297A47" w:rsidRDefault="006E0258" w:rsidP="006E0258">
      <w:pPr>
        <w:spacing w:line="480" w:lineRule="auto"/>
        <w:jc w:val="both"/>
        <w:rPr>
          <w:sz w:val="26"/>
          <w:szCs w:val="26"/>
        </w:rPr>
      </w:pPr>
    </w:p>
    <w:sectPr w:rsidR="006E0258" w:rsidRPr="00297A47" w:rsidSect="008B595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908" w:rsidRDefault="005B6908" w:rsidP="00241DE3">
      <w:r>
        <w:separator/>
      </w:r>
    </w:p>
  </w:endnote>
  <w:endnote w:type="continuationSeparator" w:id="0">
    <w:p w:rsidR="005B6908" w:rsidRDefault="005B6908" w:rsidP="00241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131"/>
      <w:docPartObj>
        <w:docPartGallery w:val="Page Numbers (Bottom of Page)"/>
        <w:docPartUnique/>
      </w:docPartObj>
    </w:sdtPr>
    <w:sdtContent>
      <w:p w:rsidR="001F64C2" w:rsidRDefault="00E5254B">
        <w:pPr>
          <w:pStyle w:val="Footer"/>
          <w:jc w:val="right"/>
        </w:pPr>
        <w:fldSimple w:instr=" PAGE   \* MERGEFORMAT ">
          <w:r w:rsidR="00E86272">
            <w:rPr>
              <w:noProof/>
            </w:rPr>
            <w:t>15</w:t>
          </w:r>
        </w:fldSimple>
      </w:p>
    </w:sdtContent>
  </w:sdt>
  <w:p w:rsidR="001F64C2" w:rsidRDefault="001F64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908" w:rsidRDefault="005B6908" w:rsidP="00241DE3">
      <w:r>
        <w:separator/>
      </w:r>
    </w:p>
  </w:footnote>
  <w:footnote w:type="continuationSeparator" w:id="0">
    <w:p w:rsidR="005B6908" w:rsidRDefault="005B6908" w:rsidP="00241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094E"/>
    <w:rsid w:val="0001017B"/>
    <w:rsid w:val="00036536"/>
    <w:rsid w:val="000606A5"/>
    <w:rsid w:val="00103DFB"/>
    <w:rsid w:val="001C0B75"/>
    <w:rsid w:val="001D4720"/>
    <w:rsid w:val="001F64C2"/>
    <w:rsid w:val="00241DE3"/>
    <w:rsid w:val="002C306E"/>
    <w:rsid w:val="00335BD1"/>
    <w:rsid w:val="00412D2C"/>
    <w:rsid w:val="0044165D"/>
    <w:rsid w:val="0045698E"/>
    <w:rsid w:val="004A2545"/>
    <w:rsid w:val="005936FA"/>
    <w:rsid w:val="005B6908"/>
    <w:rsid w:val="00642357"/>
    <w:rsid w:val="006628C1"/>
    <w:rsid w:val="00673154"/>
    <w:rsid w:val="00686DA4"/>
    <w:rsid w:val="0069094E"/>
    <w:rsid w:val="006B65D5"/>
    <w:rsid w:val="006B661A"/>
    <w:rsid w:val="006C182A"/>
    <w:rsid w:val="006D6CD9"/>
    <w:rsid w:val="006E0258"/>
    <w:rsid w:val="00746D6D"/>
    <w:rsid w:val="007B71A7"/>
    <w:rsid w:val="008B595B"/>
    <w:rsid w:val="00910DB3"/>
    <w:rsid w:val="00911D8F"/>
    <w:rsid w:val="00B029CC"/>
    <w:rsid w:val="00B501A2"/>
    <w:rsid w:val="00C64A1F"/>
    <w:rsid w:val="00C7306A"/>
    <w:rsid w:val="00C92F51"/>
    <w:rsid w:val="00D44710"/>
    <w:rsid w:val="00D51023"/>
    <w:rsid w:val="00D54027"/>
    <w:rsid w:val="00D744B8"/>
    <w:rsid w:val="00D908BA"/>
    <w:rsid w:val="00D911E1"/>
    <w:rsid w:val="00D93691"/>
    <w:rsid w:val="00D94EB7"/>
    <w:rsid w:val="00E35309"/>
    <w:rsid w:val="00E5254B"/>
    <w:rsid w:val="00E86272"/>
    <w:rsid w:val="00E959AB"/>
    <w:rsid w:val="00FD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4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94E"/>
    <w:rPr>
      <w:rFonts w:ascii="Tahoma" w:hAnsi="Tahoma" w:cs="Tahoma"/>
      <w:sz w:val="16"/>
      <w:szCs w:val="16"/>
    </w:rPr>
  </w:style>
  <w:style w:type="character" w:customStyle="1" w:styleId="BalloonTextChar">
    <w:name w:val="Balloon Text Char"/>
    <w:basedOn w:val="DefaultParagraphFont"/>
    <w:link w:val="BalloonText"/>
    <w:uiPriority w:val="99"/>
    <w:semiHidden/>
    <w:rsid w:val="0069094E"/>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241DE3"/>
    <w:pPr>
      <w:tabs>
        <w:tab w:val="center" w:pos="4513"/>
        <w:tab w:val="right" w:pos="9026"/>
      </w:tabs>
    </w:pPr>
  </w:style>
  <w:style w:type="character" w:customStyle="1" w:styleId="HeaderChar">
    <w:name w:val="Header Char"/>
    <w:basedOn w:val="DefaultParagraphFont"/>
    <w:link w:val="Header"/>
    <w:uiPriority w:val="99"/>
    <w:semiHidden/>
    <w:rsid w:val="00241DE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41DE3"/>
    <w:pPr>
      <w:tabs>
        <w:tab w:val="center" w:pos="4513"/>
        <w:tab w:val="right" w:pos="9026"/>
      </w:tabs>
    </w:pPr>
  </w:style>
  <w:style w:type="character" w:customStyle="1" w:styleId="FooterChar">
    <w:name w:val="Footer Char"/>
    <w:basedOn w:val="DefaultParagraphFont"/>
    <w:link w:val="Footer"/>
    <w:uiPriority w:val="99"/>
    <w:rsid w:val="00241DE3"/>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B7D7-B873-4161-8522-DEDAB2E3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28</cp:revision>
  <cp:lastPrinted>2013-11-29T09:44:00Z</cp:lastPrinted>
  <dcterms:created xsi:type="dcterms:W3CDTF">2013-11-22T13:34:00Z</dcterms:created>
  <dcterms:modified xsi:type="dcterms:W3CDTF">2013-11-29T09:44:00Z</dcterms:modified>
</cp:coreProperties>
</file>