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18" w:rsidRDefault="00BA5318" w:rsidP="00BA5318">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BA5318" w:rsidRPr="00A14D8D" w:rsidRDefault="00BA5318" w:rsidP="00BA5318">
      <w:pPr>
        <w:jc w:val="center"/>
        <w:rPr>
          <w:rFonts w:ascii="Bookman Old Style" w:eastAsia="Arial Unicode MS" w:hAnsi="Bookman Old Style" w:cs="Arial Unicode MS"/>
        </w:rPr>
      </w:pPr>
    </w:p>
    <w:p w:rsidR="00BA5318" w:rsidRPr="00775896" w:rsidRDefault="00BA5318" w:rsidP="00BA5318">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BA5318" w:rsidRDefault="00BA5318" w:rsidP="00BA5318">
      <w:pPr>
        <w:jc w:val="both"/>
        <w:rPr>
          <w:rFonts w:eastAsia="Arial Unicode MS"/>
          <w:sz w:val="30"/>
          <w:szCs w:val="30"/>
        </w:rPr>
      </w:pPr>
    </w:p>
    <w:p w:rsidR="00BA5318" w:rsidRPr="00D07461" w:rsidRDefault="00BA5318" w:rsidP="00BA5318">
      <w:pPr>
        <w:jc w:val="both"/>
        <w:rPr>
          <w:rFonts w:eastAsia="Arial Unicode MS"/>
          <w:b/>
          <w:sz w:val="30"/>
          <w:szCs w:val="30"/>
        </w:rPr>
      </w:pPr>
      <w:r w:rsidRPr="00D07461">
        <w:rPr>
          <w:rFonts w:eastAsia="Arial Unicode MS"/>
          <w:b/>
          <w:sz w:val="30"/>
          <w:szCs w:val="30"/>
        </w:rPr>
        <w:t>HELD AT MBABANE</w:t>
      </w:r>
    </w:p>
    <w:p w:rsidR="00BA5318" w:rsidRPr="00775896" w:rsidRDefault="00BA5318" w:rsidP="00BA5318">
      <w:pPr>
        <w:jc w:val="both"/>
        <w:rPr>
          <w:rFonts w:eastAsia="Arial Unicode MS"/>
          <w:sz w:val="30"/>
          <w:szCs w:val="30"/>
        </w:rPr>
      </w:pPr>
    </w:p>
    <w:p w:rsidR="00BA5318" w:rsidRPr="00775896" w:rsidRDefault="00BA5318" w:rsidP="00BA5318">
      <w:pPr>
        <w:jc w:val="center"/>
        <w:rPr>
          <w:rFonts w:eastAsia="Arial Unicode MS"/>
          <w:b/>
          <w:sz w:val="30"/>
          <w:szCs w:val="30"/>
        </w:rPr>
      </w:pPr>
      <w:r w:rsidRPr="00775896">
        <w:rPr>
          <w:rFonts w:eastAsia="Arial Unicode MS"/>
          <w:b/>
          <w:sz w:val="30"/>
          <w:szCs w:val="30"/>
        </w:rPr>
        <w:t>JUDGMENT</w:t>
      </w:r>
    </w:p>
    <w:p w:rsidR="00BA5318" w:rsidRPr="00775896" w:rsidRDefault="00BA5318" w:rsidP="00BA5318">
      <w:pPr>
        <w:jc w:val="center"/>
        <w:rPr>
          <w:rFonts w:eastAsia="Arial Unicode MS"/>
          <w:b/>
          <w:sz w:val="30"/>
          <w:szCs w:val="30"/>
        </w:rPr>
      </w:pPr>
    </w:p>
    <w:p w:rsidR="00BA5318" w:rsidRPr="00775896" w:rsidRDefault="00BA5318" w:rsidP="00BA5318">
      <w:pPr>
        <w:jc w:val="center"/>
        <w:rPr>
          <w:rFonts w:eastAsia="Arial Unicode MS"/>
          <w:b/>
          <w:sz w:val="30"/>
          <w:szCs w:val="30"/>
        </w:rPr>
      </w:pPr>
    </w:p>
    <w:p w:rsidR="00BA5318" w:rsidRPr="00775896" w:rsidRDefault="00BA5318" w:rsidP="00BA5318">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No. </w:t>
      </w:r>
      <w:r>
        <w:rPr>
          <w:rFonts w:eastAsia="Arial Unicode MS"/>
          <w:b/>
          <w:sz w:val="30"/>
          <w:szCs w:val="30"/>
          <w:u w:val="single"/>
        </w:rPr>
        <w:t>46</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BA5318" w:rsidRPr="00775896" w:rsidRDefault="00BA5318" w:rsidP="00BA5318">
      <w:pPr>
        <w:jc w:val="both"/>
        <w:rPr>
          <w:rFonts w:eastAsia="Arial Unicode MS"/>
          <w:b/>
          <w:sz w:val="30"/>
          <w:szCs w:val="30"/>
          <w:u w:val="single"/>
        </w:rPr>
      </w:pP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r w:rsidRPr="00775896">
        <w:rPr>
          <w:rFonts w:eastAsia="Arial Unicode MS"/>
          <w:b/>
          <w:sz w:val="30"/>
          <w:szCs w:val="30"/>
        </w:rPr>
        <w:t>In the matter between</w:t>
      </w: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r>
        <w:rPr>
          <w:rFonts w:eastAsia="Arial Unicode MS"/>
          <w:b/>
          <w:sz w:val="30"/>
          <w:szCs w:val="30"/>
        </w:rPr>
        <w:t>MUZI SHONGWE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Pr="00775896">
        <w:rPr>
          <w:rFonts w:eastAsia="Arial Unicode MS"/>
          <w:b/>
          <w:sz w:val="30"/>
          <w:szCs w:val="30"/>
        </w:rPr>
        <w:t>Appellant</w:t>
      </w: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r w:rsidRPr="00BA5318">
        <w:rPr>
          <w:rFonts w:eastAsia="Arial Unicode MS"/>
          <w:b/>
          <w:sz w:val="30"/>
          <w:szCs w:val="30"/>
        </w:rPr>
        <w:t>I</w:t>
      </w:r>
      <w:r>
        <w:rPr>
          <w:rFonts w:eastAsia="Arial Unicode MS"/>
          <w:b/>
          <w:sz w:val="30"/>
          <w:szCs w:val="30"/>
        </w:rPr>
        <w:t xml:space="preserve">SABELLA KATAMZI (born Shongwe)        First </w:t>
      </w:r>
      <w:r w:rsidRPr="00775896">
        <w:rPr>
          <w:rFonts w:eastAsia="Arial Unicode MS"/>
          <w:b/>
          <w:sz w:val="30"/>
          <w:szCs w:val="30"/>
        </w:rPr>
        <w:t>Respondent</w:t>
      </w:r>
    </w:p>
    <w:p w:rsidR="00BA5318" w:rsidRDefault="00BA5318" w:rsidP="00BA5318">
      <w:pPr>
        <w:jc w:val="both"/>
        <w:rPr>
          <w:rFonts w:eastAsia="Arial Unicode MS"/>
          <w:b/>
          <w:sz w:val="30"/>
          <w:szCs w:val="30"/>
        </w:rPr>
      </w:pPr>
    </w:p>
    <w:p w:rsidR="00BA5318" w:rsidRDefault="00BA5318" w:rsidP="00BA5318">
      <w:pPr>
        <w:jc w:val="both"/>
        <w:rPr>
          <w:rFonts w:eastAsia="Arial Unicode MS"/>
          <w:b/>
          <w:sz w:val="30"/>
          <w:szCs w:val="30"/>
        </w:rPr>
      </w:pPr>
      <w:r>
        <w:rPr>
          <w:rFonts w:eastAsia="Arial Unicode MS"/>
          <w:b/>
          <w:sz w:val="30"/>
          <w:szCs w:val="30"/>
        </w:rPr>
        <w:t xml:space="preserve">MASTER OF THE HIGH COURT </w:t>
      </w:r>
      <w:r>
        <w:rPr>
          <w:rFonts w:eastAsia="Arial Unicode MS"/>
          <w:b/>
          <w:sz w:val="30"/>
          <w:szCs w:val="30"/>
        </w:rPr>
        <w:tab/>
      </w:r>
      <w:r>
        <w:rPr>
          <w:rFonts w:eastAsia="Arial Unicode MS"/>
          <w:b/>
          <w:sz w:val="30"/>
          <w:szCs w:val="30"/>
        </w:rPr>
        <w:tab/>
        <w:t>Second Respondent</w:t>
      </w:r>
    </w:p>
    <w:p w:rsidR="00BA5318" w:rsidRDefault="00BA5318" w:rsidP="00BA5318">
      <w:pPr>
        <w:jc w:val="both"/>
        <w:rPr>
          <w:rFonts w:eastAsia="Arial Unicode MS"/>
          <w:b/>
          <w:sz w:val="30"/>
          <w:szCs w:val="30"/>
        </w:rPr>
      </w:pPr>
    </w:p>
    <w:p w:rsidR="00BA5318"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p>
    <w:p w:rsidR="00BA5318" w:rsidRPr="00775896" w:rsidRDefault="00BA5318" w:rsidP="00BA5318">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Pr>
          <w:rFonts w:eastAsia="Arial Unicode MS"/>
          <w:i/>
          <w:sz w:val="30"/>
          <w:szCs w:val="30"/>
        </w:rPr>
        <w:t xml:space="preserve">Muzi Shongwe </w:t>
      </w:r>
      <w:r>
        <w:rPr>
          <w:rFonts w:eastAsia="Arial Unicode MS"/>
          <w:sz w:val="30"/>
          <w:szCs w:val="30"/>
        </w:rPr>
        <w:t xml:space="preserve">v Isabella Katamzi &amp; Master of the High Court </w:t>
      </w:r>
      <w:r w:rsidRPr="00775896">
        <w:rPr>
          <w:rFonts w:eastAsia="Arial Unicode MS"/>
          <w:i/>
          <w:sz w:val="30"/>
          <w:szCs w:val="30"/>
        </w:rPr>
        <w:t>(</w:t>
      </w:r>
      <w:r>
        <w:rPr>
          <w:rFonts w:eastAsia="Arial Unicode MS"/>
          <w:i/>
          <w:sz w:val="30"/>
          <w:szCs w:val="30"/>
        </w:rPr>
        <w:t>46</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sidR="00902876">
        <w:rPr>
          <w:rFonts w:eastAsia="Arial Unicode MS"/>
          <w:sz w:val="30"/>
          <w:szCs w:val="30"/>
        </w:rPr>
        <w:t>2</w:t>
      </w:r>
      <w:r>
        <w:rPr>
          <w:rFonts w:eastAsia="Arial Unicode MS"/>
          <w:sz w:val="30"/>
          <w:szCs w:val="30"/>
        </w:rPr>
        <w:t>2</w:t>
      </w:r>
      <w:r w:rsidRPr="00775896">
        <w:rPr>
          <w:rFonts w:eastAsia="Arial Unicode MS"/>
          <w:sz w:val="30"/>
          <w:szCs w:val="30"/>
        </w:rPr>
        <w:t xml:space="preserve"> (</w:t>
      </w:r>
      <w:r>
        <w:rPr>
          <w:rFonts w:eastAsia="Arial Unicode MS"/>
          <w:sz w:val="30"/>
          <w:szCs w:val="30"/>
        </w:rPr>
        <w:t>30</w:t>
      </w:r>
      <w:r w:rsidRPr="00775896">
        <w:rPr>
          <w:rFonts w:eastAsia="Arial Unicode MS"/>
          <w:sz w:val="30"/>
          <w:szCs w:val="30"/>
        </w:rPr>
        <w:t xml:space="preserve"> </w:t>
      </w:r>
      <w:r>
        <w:rPr>
          <w:rFonts w:eastAsia="Arial Unicode MS"/>
          <w:sz w:val="30"/>
          <w:szCs w:val="30"/>
        </w:rPr>
        <w:t xml:space="preserve">May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BA5318" w:rsidRPr="00775896" w:rsidRDefault="00BA5318" w:rsidP="00BA5318">
      <w:pPr>
        <w:ind w:left="2880" w:hanging="2880"/>
        <w:jc w:val="both"/>
        <w:rPr>
          <w:rFonts w:eastAsia="Arial Unicode MS"/>
          <w:i/>
          <w:sz w:val="30"/>
          <w:szCs w:val="30"/>
        </w:rPr>
      </w:pPr>
    </w:p>
    <w:p w:rsidR="00BA5318" w:rsidRPr="00775896" w:rsidRDefault="00BA5318" w:rsidP="00BA5318">
      <w:pPr>
        <w:ind w:left="2880" w:hanging="2880"/>
        <w:rPr>
          <w:rFonts w:eastAsia="Arial Unicode MS"/>
          <w:b/>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EBRAHIM </w:t>
      </w:r>
      <w:r w:rsidRPr="00775896">
        <w:rPr>
          <w:rFonts w:eastAsia="Arial Unicode MS"/>
          <w:sz w:val="30"/>
          <w:szCs w:val="30"/>
        </w:rPr>
        <w:t xml:space="preserve">JA, </w:t>
      </w:r>
      <w:r>
        <w:rPr>
          <w:rFonts w:eastAsia="Arial Unicode MS"/>
          <w:sz w:val="30"/>
          <w:szCs w:val="30"/>
        </w:rPr>
        <w:t xml:space="preserve">and DR TWUM </w:t>
      </w:r>
      <w:r w:rsidRPr="00775896">
        <w:rPr>
          <w:rFonts w:eastAsia="Arial Unicode MS"/>
          <w:sz w:val="30"/>
          <w:szCs w:val="30"/>
        </w:rPr>
        <w:t>JA</w:t>
      </w:r>
      <w:r>
        <w:rPr>
          <w:rFonts w:eastAsia="Arial Unicode MS"/>
          <w:sz w:val="30"/>
          <w:szCs w:val="30"/>
        </w:rPr>
        <w:t xml:space="preserve"> </w:t>
      </w:r>
    </w:p>
    <w:p w:rsidR="00BA5318" w:rsidRPr="00775896" w:rsidRDefault="00BA5318" w:rsidP="00BA5318">
      <w:pPr>
        <w:jc w:val="both"/>
        <w:rPr>
          <w:rFonts w:eastAsia="Arial Unicode MS"/>
          <w:b/>
          <w:sz w:val="30"/>
          <w:szCs w:val="30"/>
        </w:rPr>
      </w:pPr>
    </w:p>
    <w:p w:rsidR="00BA5318" w:rsidRPr="00775896" w:rsidRDefault="00BA5318" w:rsidP="00BA5318">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1F6E9E">
        <w:rPr>
          <w:rFonts w:eastAsia="Arial Unicode MS"/>
          <w:b/>
          <w:sz w:val="30"/>
          <w:szCs w:val="30"/>
        </w:rPr>
        <w:t>1</w:t>
      </w:r>
      <w:r w:rsidR="000820C2">
        <w:rPr>
          <w:rFonts w:eastAsia="Arial Unicode MS"/>
          <w:b/>
          <w:sz w:val="30"/>
          <w:szCs w:val="30"/>
        </w:rPr>
        <w:t>6</w:t>
      </w:r>
      <w:r w:rsidRPr="001F6E9E">
        <w:rPr>
          <w:rFonts w:eastAsia="Arial Unicode MS"/>
          <w:sz w:val="30"/>
          <w:szCs w:val="30"/>
        </w:rPr>
        <w:t xml:space="preserve"> </w:t>
      </w:r>
      <w:r>
        <w:rPr>
          <w:rFonts w:eastAsia="Arial Unicode MS"/>
          <w:b/>
          <w:sz w:val="30"/>
          <w:szCs w:val="30"/>
        </w:rPr>
        <w:t xml:space="preserve">MAY </w:t>
      </w:r>
      <w:r w:rsidRPr="00775896">
        <w:rPr>
          <w:rFonts w:eastAsia="Arial Unicode MS"/>
          <w:b/>
          <w:sz w:val="30"/>
          <w:szCs w:val="30"/>
        </w:rPr>
        <w:t>201</w:t>
      </w:r>
      <w:r>
        <w:rPr>
          <w:rFonts w:eastAsia="Arial Unicode MS"/>
          <w:b/>
          <w:sz w:val="30"/>
          <w:szCs w:val="30"/>
        </w:rPr>
        <w:t>4</w:t>
      </w:r>
      <w:r w:rsidRPr="00775896">
        <w:rPr>
          <w:rFonts w:eastAsia="Arial Unicode MS"/>
          <w:b/>
          <w:sz w:val="30"/>
          <w:szCs w:val="30"/>
        </w:rPr>
        <w:tab/>
      </w:r>
      <w:r w:rsidRPr="00775896">
        <w:rPr>
          <w:rFonts w:eastAsia="Arial Unicode MS"/>
          <w:b/>
          <w:sz w:val="30"/>
          <w:szCs w:val="30"/>
        </w:rPr>
        <w:tab/>
      </w:r>
    </w:p>
    <w:p w:rsidR="00BA5318" w:rsidRPr="00775896" w:rsidRDefault="00BA5318" w:rsidP="00BA5318">
      <w:pPr>
        <w:jc w:val="both"/>
        <w:rPr>
          <w:rFonts w:eastAsia="Arial Unicode MS"/>
          <w:b/>
          <w:sz w:val="30"/>
          <w:szCs w:val="30"/>
        </w:rPr>
      </w:pPr>
    </w:p>
    <w:p w:rsidR="00BA5318" w:rsidRPr="00775896" w:rsidRDefault="00BA5318" w:rsidP="00BA5318">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30 MAY </w:t>
      </w:r>
      <w:r w:rsidRPr="00775896">
        <w:rPr>
          <w:rFonts w:eastAsia="Arial Unicode MS"/>
          <w:b/>
          <w:sz w:val="30"/>
          <w:szCs w:val="30"/>
        </w:rPr>
        <w:t>201</w:t>
      </w:r>
      <w:r>
        <w:rPr>
          <w:rFonts w:eastAsia="Arial Unicode MS"/>
          <w:b/>
          <w:sz w:val="30"/>
          <w:szCs w:val="30"/>
        </w:rPr>
        <w:t>4</w:t>
      </w:r>
    </w:p>
    <w:p w:rsidR="00BA5318" w:rsidRPr="00775896" w:rsidRDefault="00BA5318" w:rsidP="00BA5318">
      <w:pPr>
        <w:ind w:left="2880" w:hanging="2880"/>
        <w:jc w:val="both"/>
        <w:rPr>
          <w:rFonts w:eastAsia="Arial Unicode MS"/>
          <w:b/>
          <w:sz w:val="30"/>
          <w:szCs w:val="30"/>
        </w:rPr>
      </w:pPr>
    </w:p>
    <w:p w:rsidR="00BA5318" w:rsidRPr="00415741" w:rsidRDefault="00BA5318" w:rsidP="00BA5318">
      <w:pPr>
        <w:ind w:left="2880" w:hanging="2880"/>
        <w:jc w:val="both"/>
        <w:rPr>
          <w:rFonts w:eastAsia="Arial Unicode MS"/>
          <w:b/>
          <w:sz w:val="30"/>
          <w:szCs w:val="30"/>
          <w:u w:val="single"/>
        </w:rPr>
      </w:pPr>
    </w:p>
    <w:p w:rsidR="00BA5318" w:rsidRDefault="00BA5318" w:rsidP="00415741">
      <w:pPr>
        <w:ind w:left="2880" w:hanging="2880"/>
        <w:jc w:val="center"/>
        <w:rPr>
          <w:rFonts w:eastAsia="Arial Unicode MS"/>
          <w:sz w:val="30"/>
          <w:szCs w:val="30"/>
          <w:u w:val="single"/>
        </w:rPr>
      </w:pPr>
      <w:r w:rsidRPr="00415741">
        <w:rPr>
          <w:rFonts w:eastAsia="Arial Unicode MS"/>
          <w:sz w:val="30"/>
          <w:szCs w:val="30"/>
          <w:u w:val="single"/>
        </w:rPr>
        <w:t>Summary</w:t>
      </w:r>
    </w:p>
    <w:p w:rsidR="00415741" w:rsidRDefault="00415741" w:rsidP="00415741">
      <w:pPr>
        <w:ind w:left="2880" w:hanging="2880"/>
        <w:jc w:val="center"/>
        <w:rPr>
          <w:rFonts w:eastAsia="Arial Unicode MS"/>
          <w:sz w:val="30"/>
          <w:szCs w:val="30"/>
          <w:u w:val="single"/>
        </w:rPr>
      </w:pPr>
    </w:p>
    <w:p w:rsidR="00415741" w:rsidRDefault="00415741" w:rsidP="00415741">
      <w:pPr>
        <w:jc w:val="both"/>
        <w:rPr>
          <w:rFonts w:eastAsia="Arial Unicode MS"/>
          <w:sz w:val="30"/>
          <w:szCs w:val="30"/>
        </w:rPr>
      </w:pPr>
      <w:r>
        <w:rPr>
          <w:rFonts w:eastAsia="Arial Unicode MS"/>
          <w:sz w:val="30"/>
          <w:szCs w:val="30"/>
        </w:rPr>
        <w:t>Practice and procedure</w:t>
      </w:r>
      <w:r w:rsidR="00597B78" w:rsidRPr="00597B78">
        <w:rPr>
          <w:rFonts w:eastAsia="Arial Unicode MS"/>
          <w:sz w:val="30"/>
          <w:szCs w:val="30"/>
        </w:rPr>
        <w:t xml:space="preserve"> </w:t>
      </w:r>
      <w:r w:rsidR="00597B78">
        <w:rPr>
          <w:rFonts w:eastAsia="Arial Unicode MS"/>
          <w:sz w:val="30"/>
          <w:szCs w:val="30"/>
        </w:rPr>
        <w:t xml:space="preserve">– </w:t>
      </w:r>
      <w:r>
        <w:rPr>
          <w:rFonts w:eastAsia="Arial Unicode MS"/>
          <w:sz w:val="30"/>
          <w:szCs w:val="30"/>
        </w:rPr>
        <w:t xml:space="preserve">Application on notice of motion for an interdict – Jurisdiction – The choice of law between </w:t>
      </w:r>
      <w:r w:rsidR="00597B78">
        <w:rPr>
          <w:rFonts w:eastAsia="Arial Unicode MS"/>
          <w:sz w:val="30"/>
          <w:szCs w:val="30"/>
        </w:rPr>
        <w:t xml:space="preserve">Roman – Dutch </w:t>
      </w:r>
      <w:r>
        <w:rPr>
          <w:rFonts w:eastAsia="Arial Unicode MS"/>
          <w:sz w:val="30"/>
          <w:szCs w:val="30"/>
        </w:rPr>
        <w:t>law on the one hand and Swazi customary law (Swazi law and custom</w:t>
      </w:r>
      <w:r w:rsidR="00CC2E1B">
        <w:rPr>
          <w:rFonts w:eastAsia="Arial Unicode MS"/>
          <w:sz w:val="30"/>
          <w:szCs w:val="30"/>
        </w:rPr>
        <w:t>)</w:t>
      </w:r>
      <w:r>
        <w:rPr>
          <w:rFonts w:eastAsia="Arial Unicode MS"/>
          <w:sz w:val="30"/>
          <w:szCs w:val="30"/>
        </w:rPr>
        <w:t xml:space="preserve"> on the other hand – </w:t>
      </w:r>
      <w:r w:rsidRPr="00CC2E1B">
        <w:rPr>
          <w:rFonts w:eastAsia="Arial Unicode MS"/>
          <w:sz w:val="30"/>
          <w:szCs w:val="30"/>
          <w:u w:val="single"/>
        </w:rPr>
        <w:t>Held</w:t>
      </w:r>
      <w:r>
        <w:rPr>
          <w:rFonts w:eastAsia="Arial Unicode MS"/>
          <w:sz w:val="30"/>
          <w:szCs w:val="30"/>
        </w:rPr>
        <w:t xml:space="preserve"> that the matter fell within the jurisdiction of the Swazi National Court and not the High Court – The appeal accordingly dismissed with costs.</w:t>
      </w:r>
    </w:p>
    <w:p w:rsidR="00415741" w:rsidRDefault="00415741" w:rsidP="00415741">
      <w:pPr>
        <w:jc w:val="both"/>
        <w:rPr>
          <w:rFonts w:eastAsia="Arial Unicode MS"/>
          <w:sz w:val="30"/>
          <w:szCs w:val="30"/>
        </w:rPr>
      </w:pPr>
    </w:p>
    <w:p w:rsidR="00BA5318" w:rsidRPr="00775896" w:rsidRDefault="00BA5318" w:rsidP="005B0DDF">
      <w:pPr>
        <w:jc w:val="both"/>
        <w:rPr>
          <w:rFonts w:eastAsia="Arial Unicode MS"/>
          <w:b/>
          <w:sz w:val="30"/>
          <w:szCs w:val="30"/>
        </w:rPr>
      </w:pPr>
    </w:p>
    <w:p w:rsidR="00BA5318" w:rsidRPr="00174A39" w:rsidRDefault="00BA5318" w:rsidP="00BA5318">
      <w:pPr>
        <w:ind w:left="2880" w:hanging="2880"/>
        <w:jc w:val="center"/>
        <w:rPr>
          <w:rFonts w:eastAsia="Arial Unicode MS"/>
          <w:b/>
          <w:sz w:val="30"/>
          <w:szCs w:val="30"/>
        </w:rPr>
      </w:pPr>
      <w:r w:rsidRPr="00174A39">
        <w:rPr>
          <w:rFonts w:eastAsia="Arial Unicode MS"/>
          <w:b/>
          <w:sz w:val="30"/>
          <w:szCs w:val="30"/>
        </w:rPr>
        <w:t>JUDGMENT</w:t>
      </w:r>
    </w:p>
    <w:p w:rsidR="00BA5318" w:rsidRPr="00174A39" w:rsidRDefault="00BA5318" w:rsidP="00BA5318">
      <w:pPr>
        <w:ind w:left="2880" w:hanging="2880"/>
        <w:jc w:val="both"/>
        <w:rPr>
          <w:rFonts w:eastAsia="Arial Unicode MS"/>
          <w:b/>
          <w:sz w:val="30"/>
          <w:szCs w:val="30"/>
        </w:rPr>
      </w:pPr>
    </w:p>
    <w:p w:rsidR="00BA5318" w:rsidRPr="00775896" w:rsidRDefault="00BA5318" w:rsidP="00BA5318">
      <w:pPr>
        <w:ind w:left="2880" w:hanging="2880"/>
        <w:jc w:val="both"/>
        <w:rPr>
          <w:rFonts w:eastAsia="Arial Unicode MS"/>
          <w:b/>
          <w:sz w:val="30"/>
          <w:szCs w:val="30"/>
        </w:rPr>
      </w:pPr>
    </w:p>
    <w:p w:rsidR="00BA5318" w:rsidRPr="00775896" w:rsidRDefault="00BA5318" w:rsidP="00BA5318">
      <w:pPr>
        <w:ind w:left="2880" w:hanging="2880"/>
        <w:jc w:val="both"/>
        <w:rPr>
          <w:rFonts w:eastAsia="Arial Unicode MS"/>
          <w:b/>
          <w:sz w:val="30"/>
          <w:szCs w:val="30"/>
        </w:rPr>
      </w:pPr>
      <w:r w:rsidRPr="00775896">
        <w:rPr>
          <w:rFonts w:eastAsia="Arial Unicode MS"/>
          <w:b/>
          <w:sz w:val="30"/>
          <w:szCs w:val="30"/>
        </w:rPr>
        <w:t>RAMODIBEDI CJ</w:t>
      </w:r>
    </w:p>
    <w:p w:rsidR="00BA5318" w:rsidRPr="00775896" w:rsidRDefault="00BA5318" w:rsidP="00BA5318">
      <w:pPr>
        <w:ind w:left="2880" w:hanging="2880"/>
        <w:jc w:val="both"/>
        <w:rPr>
          <w:rFonts w:eastAsia="Arial Unicode MS"/>
          <w:sz w:val="30"/>
          <w:szCs w:val="30"/>
        </w:rPr>
      </w:pPr>
    </w:p>
    <w:p w:rsidR="00BA5318" w:rsidRPr="00775896" w:rsidRDefault="00BA5318" w:rsidP="00BA5318">
      <w:pPr>
        <w:ind w:left="2880" w:hanging="2880"/>
        <w:jc w:val="both"/>
        <w:rPr>
          <w:rFonts w:eastAsia="Arial Unicode MS"/>
          <w:sz w:val="30"/>
          <w:szCs w:val="30"/>
        </w:rPr>
      </w:pPr>
    </w:p>
    <w:p w:rsidR="004E15A3" w:rsidRDefault="00BA5318" w:rsidP="00BA5318">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sidR="000820C2">
        <w:rPr>
          <w:rFonts w:eastAsia="Arial Unicode MS"/>
          <w:sz w:val="30"/>
          <w:szCs w:val="30"/>
        </w:rPr>
        <w:t xml:space="preserve">In a long series of judgments, starting with the landmark case of the </w:t>
      </w:r>
      <w:r w:rsidR="000820C2">
        <w:rPr>
          <w:rFonts w:eastAsia="Arial Unicode MS"/>
          <w:b/>
          <w:sz w:val="30"/>
          <w:szCs w:val="30"/>
          <w:u w:val="single"/>
        </w:rPr>
        <w:t>Commissioner of Police and Another v Mkhondvo Aaron Maseko, Civil Appeal No. 03/2011</w:t>
      </w:r>
      <w:r w:rsidR="000820C2">
        <w:rPr>
          <w:rFonts w:eastAsia="Arial Unicode MS"/>
          <w:b/>
          <w:sz w:val="30"/>
          <w:szCs w:val="30"/>
        </w:rPr>
        <w:t xml:space="preserve">, </w:t>
      </w:r>
      <w:r w:rsidR="000820C2" w:rsidRPr="000820C2">
        <w:rPr>
          <w:rFonts w:eastAsia="Arial Unicode MS"/>
          <w:sz w:val="30"/>
          <w:szCs w:val="30"/>
        </w:rPr>
        <w:t>this Court has</w:t>
      </w:r>
      <w:r w:rsidR="000820C2">
        <w:rPr>
          <w:rFonts w:eastAsia="Arial Unicode MS"/>
          <w:sz w:val="30"/>
          <w:szCs w:val="30"/>
        </w:rPr>
        <w:t xml:space="preserve"> consistently stressed the fundamental need for the courts in this jurisdiction to make a proper choice of law in matters coming before them.  The choice in question is between the Roman Dutch law on the one hand and Swazi customary law (Swazi law and custom) on the other hand.  This appeal regrettably serves as a perfect illustration </w:t>
      </w:r>
      <w:r w:rsidR="000820C2">
        <w:rPr>
          <w:rFonts w:eastAsia="Arial Unicode MS"/>
          <w:sz w:val="30"/>
          <w:szCs w:val="30"/>
        </w:rPr>
        <w:lastRenderedPageBreak/>
        <w:t>that this principle has still not permeated through to all the section</w:t>
      </w:r>
      <w:r w:rsidR="004E15A3">
        <w:rPr>
          <w:rFonts w:eastAsia="Arial Unicode MS"/>
          <w:sz w:val="30"/>
          <w:szCs w:val="30"/>
        </w:rPr>
        <w:t>s of the community, including some lawyers, it would seem.</w:t>
      </w:r>
    </w:p>
    <w:p w:rsidR="004E15A3" w:rsidRDefault="004E15A3" w:rsidP="00BA5318">
      <w:pPr>
        <w:spacing w:line="480" w:lineRule="auto"/>
        <w:ind w:left="720" w:hanging="720"/>
        <w:jc w:val="both"/>
        <w:rPr>
          <w:rFonts w:eastAsia="Arial Unicode MS"/>
          <w:sz w:val="30"/>
          <w:szCs w:val="30"/>
        </w:rPr>
      </w:pPr>
    </w:p>
    <w:p w:rsidR="004E15A3" w:rsidRDefault="004E15A3" w:rsidP="00BA5318">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r>
      <w:r w:rsidR="00BA5318">
        <w:rPr>
          <w:rFonts w:eastAsia="Arial Unicode MS"/>
          <w:sz w:val="30"/>
          <w:szCs w:val="30"/>
        </w:rPr>
        <w:t xml:space="preserve">The </w:t>
      </w:r>
      <w:r>
        <w:rPr>
          <w:rFonts w:eastAsia="Arial Unicode MS"/>
          <w:sz w:val="30"/>
          <w:szCs w:val="30"/>
        </w:rPr>
        <w:t>appellant, as applicant, brought a notice of motion against the respondents seeking the following relief:-</w:t>
      </w:r>
    </w:p>
    <w:p w:rsidR="004E15A3" w:rsidRDefault="004E15A3" w:rsidP="00BA5318">
      <w:pPr>
        <w:spacing w:line="480" w:lineRule="auto"/>
        <w:ind w:left="720" w:hanging="720"/>
        <w:jc w:val="both"/>
        <w:rPr>
          <w:rFonts w:eastAsia="Arial Unicode MS"/>
          <w:sz w:val="30"/>
          <w:szCs w:val="30"/>
        </w:rPr>
      </w:pPr>
    </w:p>
    <w:p w:rsidR="00E82937" w:rsidRDefault="00B74034" w:rsidP="00E82937">
      <w:pPr>
        <w:pStyle w:val="ListParagraph"/>
        <w:numPr>
          <w:ilvl w:val="0"/>
          <w:numId w:val="5"/>
        </w:numPr>
        <w:spacing w:line="480" w:lineRule="auto"/>
        <w:ind w:left="1350" w:hanging="630"/>
        <w:jc w:val="both"/>
        <w:rPr>
          <w:rFonts w:eastAsia="Arial Unicode MS"/>
          <w:sz w:val="30"/>
          <w:szCs w:val="30"/>
        </w:rPr>
      </w:pPr>
      <w:r>
        <w:rPr>
          <w:rFonts w:eastAsia="Arial Unicode MS"/>
          <w:sz w:val="30"/>
          <w:szCs w:val="30"/>
        </w:rPr>
        <w:t>Interdicting and restraining the first respondent from invading</w:t>
      </w:r>
      <w:r w:rsidR="00321D91">
        <w:rPr>
          <w:rFonts w:eastAsia="Arial Unicode MS"/>
          <w:sz w:val="30"/>
          <w:szCs w:val="30"/>
        </w:rPr>
        <w:t>, ploughing and/</w:t>
      </w:r>
      <w:r>
        <w:rPr>
          <w:rFonts w:eastAsia="Arial Unicode MS"/>
          <w:sz w:val="30"/>
          <w:szCs w:val="30"/>
        </w:rPr>
        <w:t>or taking over fields which are ow</w:t>
      </w:r>
      <w:r w:rsidR="00321D91">
        <w:rPr>
          <w:rFonts w:eastAsia="Arial Unicode MS"/>
          <w:sz w:val="30"/>
          <w:szCs w:val="30"/>
        </w:rPr>
        <w:t>n</w:t>
      </w:r>
      <w:r>
        <w:rPr>
          <w:rFonts w:eastAsia="Arial Unicode MS"/>
          <w:sz w:val="30"/>
          <w:szCs w:val="30"/>
        </w:rPr>
        <w:t xml:space="preserve">ed and in the </w:t>
      </w:r>
      <w:r w:rsidR="00E82937">
        <w:rPr>
          <w:rFonts w:eastAsia="Arial Unicode MS"/>
          <w:sz w:val="30"/>
          <w:szCs w:val="30"/>
        </w:rPr>
        <w:t>lawful possession of the applicant at a homestead called PHOLELA and situated at Ludzeludze in the Manzini district;</w:t>
      </w:r>
    </w:p>
    <w:p w:rsidR="00E82937" w:rsidRDefault="00E82937" w:rsidP="00E82937">
      <w:pPr>
        <w:pStyle w:val="ListParagraph"/>
        <w:spacing w:line="480" w:lineRule="auto"/>
        <w:ind w:left="1080"/>
        <w:jc w:val="both"/>
        <w:rPr>
          <w:rFonts w:eastAsia="Arial Unicode MS"/>
          <w:sz w:val="30"/>
          <w:szCs w:val="30"/>
        </w:rPr>
      </w:pPr>
    </w:p>
    <w:p w:rsidR="00947589" w:rsidRDefault="00947589" w:rsidP="00E82937">
      <w:pPr>
        <w:pStyle w:val="ListParagraph"/>
        <w:numPr>
          <w:ilvl w:val="0"/>
          <w:numId w:val="5"/>
        </w:numPr>
        <w:spacing w:line="480" w:lineRule="auto"/>
        <w:ind w:left="1350" w:hanging="630"/>
        <w:jc w:val="both"/>
        <w:rPr>
          <w:rFonts w:eastAsia="Arial Unicode MS"/>
          <w:sz w:val="30"/>
          <w:szCs w:val="30"/>
        </w:rPr>
      </w:pPr>
      <w:r>
        <w:rPr>
          <w:rFonts w:eastAsia="Arial Unicode MS"/>
          <w:sz w:val="30"/>
          <w:szCs w:val="30"/>
        </w:rPr>
        <w:t>Interdicting and restraining the first respondent from continuing to erect</w:t>
      </w:r>
      <w:r w:rsidR="00321D91">
        <w:rPr>
          <w:rFonts w:eastAsia="Arial Unicode MS"/>
          <w:sz w:val="30"/>
          <w:szCs w:val="30"/>
        </w:rPr>
        <w:t xml:space="preserve"> the</w:t>
      </w:r>
      <w:r>
        <w:rPr>
          <w:rFonts w:eastAsia="Arial Unicode MS"/>
          <w:sz w:val="30"/>
          <w:szCs w:val="30"/>
        </w:rPr>
        <w:t xml:space="preserve"> fencing of the homestead known as PHOLELA and situated at Ludzeludze which is owned by and is in the possession of the applicant</w:t>
      </w:r>
      <w:r w:rsidR="00D11765">
        <w:rPr>
          <w:rFonts w:eastAsia="Arial Unicode MS"/>
          <w:sz w:val="30"/>
          <w:szCs w:val="30"/>
        </w:rPr>
        <w:t>;</w:t>
      </w:r>
    </w:p>
    <w:p w:rsidR="00947589" w:rsidRPr="00947589" w:rsidRDefault="00947589" w:rsidP="00947589">
      <w:pPr>
        <w:pStyle w:val="ListParagraph"/>
        <w:rPr>
          <w:rFonts w:eastAsia="Arial Unicode MS"/>
          <w:sz w:val="30"/>
          <w:szCs w:val="30"/>
        </w:rPr>
      </w:pPr>
    </w:p>
    <w:p w:rsidR="006C5E5B" w:rsidRDefault="00562BF6" w:rsidP="006C5E5B">
      <w:pPr>
        <w:pStyle w:val="ListParagraph"/>
        <w:numPr>
          <w:ilvl w:val="0"/>
          <w:numId w:val="5"/>
        </w:numPr>
        <w:spacing w:line="480" w:lineRule="auto"/>
        <w:ind w:left="1350" w:hanging="630"/>
        <w:jc w:val="both"/>
        <w:rPr>
          <w:rFonts w:eastAsia="Arial Unicode MS"/>
          <w:sz w:val="30"/>
          <w:szCs w:val="30"/>
        </w:rPr>
      </w:pPr>
      <w:r>
        <w:rPr>
          <w:rFonts w:eastAsia="Arial Unicode MS"/>
          <w:sz w:val="30"/>
          <w:szCs w:val="30"/>
        </w:rPr>
        <w:lastRenderedPageBreak/>
        <w:t xml:space="preserve">Directing the first respondent to vacate the applicant’s land and homestead known as PHOLELA at </w:t>
      </w:r>
      <w:proofErr w:type="spellStart"/>
      <w:r>
        <w:rPr>
          <w:rFonts w:eastAsia="Arial Unicode MS"/>
          <w:sz w:val="30"/>
          <w:szCs w:val="30"/>
        </w:rPr>
        <w:t>Ludzeludze</w:t>
      </w:r>
      <w:proofErr w:type="spellEnd"/>
      <w:r>
        <w:rPr>
          <w:rFonts w:eastAsia="Arial Unicode MS"/>
          <w:sz w:val="30"/>
          <w:szCs w:val="30"/>
        </w:rPr>
        <w:t xml:space="preserve"> in the </w:t>
      </w:r>
      <w:proofErr w:type="spellStart"/>
      <w:r>
        <w:rPr>
          <w:rFonts w:eastAsia="Arial Unicode MS"/>
          <w:sz w:val="30"/>
          <w:szCs w:val="30"/>
        </w:rPr>
        <w:t>Manzini</w:t>
      </w:r>
      <w:proofErr w:type="spellEnd"/>
      <w:r>
        <w:rPr>
          <w:rFonts w:eastAsia="Arial Unicode MS"/>
          <w:sz w:val="30"/>
          <w:szCs w:val="30"/>
        </w:rPr>
        <w:t xml:space="preserve"> district</w:t>
      </w:r>
      <w:r w:rsidR="00D11765">
        <w:rPr>
          <w:rFonts w:eastAsia="Arial Unicode MS"/>
          <w:sz w:val="30"/>
          <w:szCs w:val="30"/>
        </w:rPr>
        <w:t>;</w:t>
      </w:r>
    </w:p>
    <w:p w:rsidR="00562BF6" w:rsidRDefault="00562BF6" w:rsidP="006C5E5B">
      <w:pPr>
        <w:rPr>
          <w:rFonts w:eastAsia="Arial Unicode MS"/>
          <w:sz w:val="30"/>
          <w:szCs w:val="30"/>
        </w:rPr>
      </w:pPr>
    </w:p>
    <w:p w:rsidR="006C5E5B" w:rsidRPr="006C5E5B" w:rsidRDefault="006C5E5B" w:rsidP="006C5E5B">
      <w:pPr>
        <w:rPr>
          <w:rFonts w:eastAsia="Arial Unicode MS"/>
          <w:sz w:val="30"/>
          <w:szCs w:val="30"/>
        </w:rPr>
      </w:pPr>
    </w:p>
    <w:p w:rsidR="008218A0" w:rsidRDefault="00562BF6" w:rsidP="00783E3C">
      <w:pPr>
        <w:spacing w:line="480" w:lineRule="auto"/>
        <w:ind w:left="720" w:hanging="720"/>
        <w:jc w:val="both"/>
        <w:rPr>
          <w:rFonts w:eastAsia="Arial Unicode MS"/>
          <w:sz w:val="30"/>
          <w:szCs w:val="30"/>
        </w:rPr>
      </w:pPr>
      <w:r>
        <w:rPr>
          <w:rFonts w:eastAsia="Arial Unicode MS"/>
          <w:sz w:val="30"/>
          <w:szCs w:val="30"/>
        </w:rPr>
        <w:t>[</w:t>
      </w:r>
      <w:r w:rsidR="00783E3C">
        <w:rPr>
          <w:rFonts w:eastAsia="Arial Unicode MS"/>
          <w:sz w:val="30"/>
          <w:szCs w:val="30"/>
        </w:rPr>
        <w:t>3</w:t>
      </w:r>
      <w:r>
        <w:rPr>
          <w:rFonts w:eastAsia="Arial Unicode MS"/>
          <w:sz w:val="30"/>
          <w:szCs w:val="30"/>
        </w:rPr>
        <w:t>]</w:t>
      </w:r>
      <w:r>
        <w:rPr>
          <w:rFonts w:eastAsia="Arial Unicode MS"/>
          <w:sz w:val="30"/>
          <w:szCs w:val="30"/>
        </w:rPr>
        <w:tab/>
      </w:r>
      <w:r w:rsidR="008218A0">
        <w:rPr>
          <w:rFonts w:eastAsia="Arial Unicode MS"/>
          <w:sz w:val="30"/>
          <w:szCs w:val="30"/>
        </w:rPr>
        <w:t xml:space="preserve">Admittedly pressed by this Court, </w:t>
      </w:r>
      <w:r w:rsidR="008218A0">
        <w:rPr>
          <w:rFonts w:eastAsia="Arial Unicode MS"/>
          <w:sz w:val="30"/>
          <w:szCs w:val="30"/>
          <w:u w:val="single"/>
        </w:rPr>
        <w:t>Mr S.C. Dlamini</w:t>
      </w:r>
      <w:r w:rsidR="008218A0" w:rsidRPr="008218A0">
        <w:rPr>
          <w:rFonts w:eastAsia="Arial Unicode MS"/>
          <w:sz w:val="30"/>
          <w:szCs w:val="30"/>
        </w:rPr>
        <w:t xml:space="preserve"> for the</w:t>
      </w:r>
      <w:r w:rsidR="008218A0">
        <w:rPr>
          <w:rFonts w:eastAsia="Arial Unicode MS"/>
          <w:sz w:val="30"/>
          <w:szCs w:val="30"/>
        </w:rPr>
        <w:t xml:space="preserve"> appellant conceded in the forefront of his submissions that the disputed homestead is situated on Swazi Nation</w:t>
      </w:r>
      <w:r w:rsidR="00321D91">
        <w:rPr>
          <w:rFonts w:eastAsia="Arial Unicode MS"/>
          <w:sz w:val="30"/>
          <w:szCs w:val="30"/>
        </w:rPr>
        <w:t>al</w:t>
      </w:r>
      <w:r w:rsidR="008218A0">
        <w:rPr>
          <w:rFonts w:eastAsia="Arial Unicode MS"/>
          <w:sz w:val="30"/>
          <w:szCs w:val="30"/>
        </w:rPr>
        <w:t xml:space="preserve"> </w:t>
      </w:r>
      <w:r w:rsidR="00321D91">
        <w:rPr>
          <w:rFonts w:eastAsia="Arial Unicode MS"/>
          <w:sz w:val="30"/>
          <w:szCs w:val="30"/>
        </w:rPr>
        <w:t>L</w:t>
      </w:r>
      <w:r w:rsidR="008218A0">
        <w:rPr>
          <w:rFonts w:eastAsia="Arial Unicode MS"/>
          <w:sz w:val="30"/>
          <w:szCs w:val="30"/>
        </w:rPr>
        <w:t>and.  In my view, this concession was properly made in the circumstances of this case.  In this regard one merely has to refer to the appellant’s own inventor</w:t>
      </w:r>
      <w:r w:rsidR="00321D91">
        <w:rPr>
          <w:rFonts w:eastAsia="Arial Unicode MS"/>
          <w:sz w:val="30"/>
          <w:szCs w:val="30"/>
        </w:rPr>
        <w:t>y,</w:t>
      </w:r>
      <w:r w:rsidR="008218A0">
        <w:rPr>
          <w:rFonts w:eastAsia="Arial Unicode MS"/>
          <w:sz w:val="30"/>
          <w:szCs w:val="30"/>
        </w:rPr>
        <w:t xml:space="preserve"> </w:t>
      </w:r>
      <w:r w:rsidR="00321D91">
        <w:rPr>
          <w:rFonts w:eastAsia="Arial Unicode MS"/>
          <w:sz w:val="30"/>
          <w:szCs w:val="30"/>
        </w:rPr>
        <w:t>A</w:t>
      </w:r>
      <w:r w:rsidR="008218A0">
        <w:rPr>
          <w:rFonts w:eastAsia="Arial Unicode MS"/>
          <w:sz w:val="30"/>
          <w:szCs w:val="30"/>
        </w:rPr>
        <w:t>nnexure</w:t>
      </w:r>
      <w:r w:rsidR="00321D91">
        <w:rPr>
          <w:rFonts w:eastAsia="Arial Unicode MS"/>
          <w:sz w:val="30"/>
          <w:szCs w:val="30"/>
        </w:rPr>
        <w:t>,</w:t>
      </w:r>
      <w:r w:rsidR="008218A0">
        <w:rPr>
          <w:rFonts w:eastAsia="Arial Unicode MS"/>
          <w:sz w:val="30"/>
          <w:szCs w:val="30"/>
        </w:rPr>
        <w:t xml:space="preserve"> “RAZ” appearing on page 63 of the record of proceedings in the court below.  It specifically describes the disputed property as a “Homestead at </w:t>
      </w:r>
      <w:r w:rsidR="00296CD4">
        <w:rPr>
          <w:rFonts w:eastAsia="Arial Unicode MS"/>
          <w:sz w:val="30"/>
          <w:szCs w:val="30"/>
        </w:rPr>
        <w:t>PHOLELA</w:t>
      </w:r>
      <w:r w:rsidR="008218A0">
        <w:rPr>
          <w:rFonts w:eastAsia="Arial Unicode MS"/>
          <w:sz w:val="30"/>
          <w:szCs w:val="30"/>
        </w:rPr>
        <w:t xml:space="preserve"> on Swazi National Land.”  It was upon this basis that </w:t>
      </w:r>
      <w:r w:rsidR="008218A0" w:rsidRPr="008218A0">
        <w:rPr>
          <w:rFonts w:eastAsia="Arial Unicode MS"/>
          <w:i/>
          <w:sz w:val="30"/>
          <w:szCs w:val="30"/>
        </w:rPr>
        <w:t xml:space="preserve">the </w:t>
      </w:r>
      <w:r w:rsidR="008218A0">
        <w:rPr>
          <w:rFonts w:eastAsia="Arial Unicode MS"/>
          <w:i/>
          <w:sz w:val="30"/>
          <w:szCs w:val="30"/>
        </w:rPr>
        <w:t>court a quo</w:t>
      </w:r>
      <w:r w:rsidR="008218A0">
        <w:rPr>
          <w:rFonts w:eastAsia="Arial Unicode MS"/>
          <w:sz w:val="30"/>
          <w:szCs w:val="30"/>
        </w:rPr>
        <w:t xml:space="preserve"> (MCB Maphalala J) as he then was </w:t>
      </w:r>
      <w:r w:rsidR="00321D91">
        <w:rPr>
          <w:rFonts w:eastAsia="Arial Unicode MS"/>
          <w:sz w:val="30"/>
          <w:szCs w:val="30"/>
        </w:rPr>
        <w:t>correctly</w:t>
      </w:r>
      <w:r w:rsidR="00C06CC4">
        <w:rPr>
          <w:rFonts w:eastAsia="Arial Unicode MS"/>
          <w:sz w:val="30"/>
          <w:szCs w:val="30"/>
        </w:rPr>
        <w:t>,</w:t>
      </w:r>
      <w:r w:rsidR="00321D91">
        <w:rPr>
          <w:rFonts w:eastAsia="Arial Unicode MS"/>
          <w:sz w:val="30"/>
          <w:szCs w:val="30"/>
        </w:rPr>
        <w:t xml:space="preserve"> </w:t>
      </w:r>
      <w:r w:rsidR="008218A0">
        <w:rPr>
          <w:rFonts w:eastAsia="Arial Unicode MS"/>
          <w:sz w:val="30"/>
          <w:szCs w:val="30"/>
        </w:rPr>
        <w:t>in my view, made a finding in that regard.</w:t>
      </w:r>
    </w:p>
    <w:p w:rsidR="008218A0" w:rsidRDefault="008218A0" w:rsidP="00562BF6">
      <w:pPr>
        <w:spacing w:line="480" w:lineRule="auto"/>
        <w:jc w:val="both"/>
        <w:rPr>
          <w:rFonts w:eastAsia="Arial Unicode MS"/>
          <w:sz w:val="30"/>
          <w:szCs w:val="30"/>
        </w:rPr>
      </w:pPr>
    </w:p>
    <w:p w:rsidR="00562BF6" w:rsidRDefault="00783E3C" w:rsidP="00783E3C">
      <w:pPr>
        <w:spacing w:line="480" w:lineRule="auto"/>
        <w:ind w:left="720" w:hanging="570"/>
        <w:jc w:val="both"/>
        <w:rPr>
          <w:rFonts w:eastAsia="Arial Unicode MS"/>
          <w:sz w:val="30"/>
          <w:szCs w:val="30"/>
        </w:rPr>
      </w:pPr>
      <w:r>
        <w:rPr>
          <w:rFonts w:eastAsia="Arial Unicode MS"/>
          <w:sz w:val="30"/>
          <w:szCs w:val="30"/>
        </w:rPr>
        <w:t>[4]</w:t>
      </w:r>
      <w:r>
        <w:rPr>
          <w:rFonts w:eastAsia="Arial Unicode MS"/>
          <w:sz w:val="30"/>
          <w:szCs w:val="30"/>
        </w:rPr>
        <w:tab/>
        <w:t>This then raises the question of jurisdiction.  In his heads of argument and in oral submissions before us</w:t>
      </w:r>
      <w:r w:rsidR="00321D91">
        <w:rPr>
          <w:rFonts w:eastAsia="Arial Unicode MS"/>
          <w:sz w:val="30"/>
          <w:szCs w:val="30"/>
        </w:rPr>
        <w:t>,</w:t>
      </w:r>
      <w:r>
        <w:rPr>
          <w:rFonts w:eastAsia="Arial Unicode MS"/>
          <w:sz w:val="30"/>
          <w:szCs w:val="30"/>
        </w:rPr>
        <w:t xml:space="preserve"> </w:t>
      </w:r>
      <w:proofErr w:type="spellStart"/>
      <w:r>
        <w:rPr>
          <w:rFonts w:eastAsia="Arial Unicode MS"/>
          <w:sz w:val="30"/>
          <w:szCs w:val="30"/>
          <w:u w:val="single"/>
        </w:rPr>
        <w:t>Mr</w:t>
      </w:r>
      <w:proofErr w:type="spellEnd"/>
      <w:r>
        <w:rPr>
          <w:rFonts w:eastAsia="Arial Unicode MS"/>
          <w:sz w:val="30"/>
          <w:szCs w:val="30"/>
          <w:u w:val="single"/>
        </w:rPr>
        <w:t xml:space="preserve"> S.C. </w:t>
      </w:r>
      <w:proofErr w:type="spellStart"/>
      <w:r>
        <w:rPr>
          <w:rFonts w:eastAsia="Arial Unicode MS"/>
          <w:sz w:val="30"/>
          <w:szCs w:val="30"/>
          <w:u w:val="single"/>
        </w:rPr>
        <w:t>Dlamini</w:t>
      </w:r>
      <w:proofErr w:type="spellEnd"/>
      <w:r>
        <w:rPr>
          <w:rFonts w:eastAsia="Arial Unicode MS"/>
          <w:sz w:val="30"/>
          <w:szCs w:val="30"/>
        </w:rPr>
        <w:t xml:space="preserve"> sought to rely on s 1</w:t>
      </w:r>
      <w:r w:rsidR="00CC2E1B">
        <w:rPr>
          <w:rFonts w:eastAsia="Arial Unicode MS"/>
          <w:sz w:val="30"/>
          <w:szCs w:val="30"/>
        </w:rPr>
        <w:t>51</w:t>
      </w:r>
      <w:r>
        <w:rPr>
          <w:rFonts w:eastAsia="Arial Unicode MS"/>
          <w:sz w:val="30"/>
          <w:szCs w:val="30"/>
        </w:rPr>
        <w:t xml:space="preserve"> (1) (a) of the Constitution for the </w:t>
      </w:r>
      <w:r>
        <w:rPr>
          <w:rFonts w:eastAsia="Arial Unicode MS"/>
          <w:sz w:val="30"/>
          <w:szCs w:val="30"/>
        </w:rPr>
        <w:lastRenderedPageBreak/>
        <w:t>proposition that the High Court was vested with jurisdiction in the matter.  The section reads as follows:-</w:t>
      </w:r>
    </w:p>
    <w:p w:rsidR="00783E3C" w:rsidRDefault="00783E3C" w:rsidP="00562BF6">
      <w:pPr>
        <w:spacing w:line="480" w:lineRule="auto"/>
        <w:jc w:val="both"/>
        <w:rPr>
          <w:rFonts w:eastAsia="Arial Unicode MS"/>
          <w:sz w:val="30"/>
          <w:szCs w:val="30"/>
        </w:rPr>
      </w:pPr>
    </w:p>
    <w:p w:rsidR="00CC2E1B" w:rsidRDefault="00783E3C" w:rsidP="00CC2E1B">
      <w:pPr>
        <w:spacing w:line="360" w:lineRule="auto"/>
        <w:jc w:val="both"/>
        <w:rPr>
          <w:rFonts w:eastAsia="Arial Unicode MS"/>
          <w:i/>
          <w:sz w:val="30"/>
          <w:szCs w:val="30"/>
        </w:rPr>
      </w:pPr>
      <w:r>
        <w:rPr>
          <w:rFonts w:eastAsia="Arial Unicode MS"/>
          <w:sz w:val="30"/>
          <w:szCs w:val="30"/>
        </w:rPr>
        <w:tab/>
      </w:r>
      <w:r>
        <w:rPr>
          <w:rFonts w:eastAsia="Arial Unicode MS"/>
          <w:i/>
          <w:sz w:val="30"/>
          <w:szCs w:val="30"/>
        </w:rPr>
        <w:tab/>
        <w:t>“151. (1</w:t>
      </w:r>
      <w:r w:rsidR="00171239">
        <w:rPr>
          <w:rFonts w:eastAsia="Arial Unicode MS"/>
          <w:i/>
          <w:sz w:val="30"/>
          <w:szCs w:val="30"/>
        </w:rPr>
        <w:t>) The</w:t>
      </w:r>
      <w:r>
        <w:rPr>
          <w:rFonts w:eastAsia="Arial Unicode MS"/>
          <w:i/>
          <w:sz w:val="30"/>
          <w:szCs w:val="30"/>
        </w:rPr>
        <w:t xml:space="preserve"> High Court has –</w:t>
      </w:r>
    </w:p>
    <w:p w:rsidR="00CC2E1B" w:rsidRDefault="00CC2E1B" w:rsidP="00CC2E1B">
      <w:pPr>
        <w:spacing w:line="360" w:lineRule="auto"/>
        <w:jc w:val="both"/>
        <w:rPr>
          <w:rFonts w:eastAsia="Arial Unicode MS"/>
          <w:i/>
          <w:sz w:val="30"/>
          <w:szCs w:val="30"/>
        </w:rPr>
      </w:pPr>
    </w:p>
    <w:p w:rsidR="00783E3C" w:rsidRDefault="00783E3C" w:rsidP="00CC2E1B">
      <w:pPr>
        <w:pStyle w:val="ListParagraph"/>
        <w:numPr>
          <w:ilvl w:val="0"/>
          <w:numId w:val="6"/>
        </w:numPr>
        <w:spacing w:line="360" w:lineRule="auto"/>
        <w:ind w:hanging="540"/>
        <w:jc w:val="both"/>
        <w:rPr>
          <w:rFonts w:eastAsia="Arial Unicode MS"/>
          <w:i/>
          <w:sz w:val="30"/>
          <w:szCs w:val="30"/>
        </w:rPr>
      </w:pPr>
      <w:r>
        <w:rPr>
          <w:rFonts w:eastAsia="Arial Unicode MS"/>
          <w:i/>
          <w:sz w:val="30"/>
          <w:szCs w:val="30"/>
        </w:rPr>
        <w:t>Unlimited jurisdiction in civil and criminal matters as the High Court possess</w:t>
      </w:r>
      <w:r w:rsidR="00171239">
        <w:rPr>
          <w:rFonts w:eastAsia="Arial Unicode MS"/>
          <w:i/>
          <w:sz w:val="30"/>
          <w:szCs w:val="30"/>
        </w:rPr>
        <w:t>es at the date of commencement of this Constitution.”</w:t>
      </w:r>
    </w:p>
    <w:p w:rsidR="00171239" w:rsidRPr="00171239" w:rsidRDefault="00171239" w:rsidP="00171239">
      <w:pPr>
        <w:spacing w:line="480" w:lineRule="auto"/>
        <w:ind w:left="2880"/>
        <w:jc w:val="both"/>
        <w:rPr>
          <w:rFonts w:eastAsia="Arial Unicode MS"/>
          <w:i/>
          <w:sz w:val="30"/>
          <w:szCs w:val="30"/>
        </w:rPr>
      </w:pPr>
    </w:p>
    <w:p w:rsidR="00171239" w:rsidRDefault="00171239" w:rsidP="00CC2E1B">
      <w:pPr>
        <w:tabs>
          <w:tab w:val="left" w:pos="630"/>
          <w:tab w:val="left" w:pos="810"/>
        </w:tabs>
        <w:spacing w:line="480" w:lineRule="auto"/>
        <w:ind w:left="720" w:hanging="720"/>
        <w:jc w:val="both"/>
        <w:rPr>
          <w:rFonts w:eastAsia="Arial Unicode MS"/>
          <w:sz w:val="30"/>
          <w:szCs w:val="30"/>
        </w:rPr>
      </w:pPr>
      <w:r>
        <w:rPr>
          <w:rFonts w:eastAsia="Arial Unicode MS"/>
          <w:sz w:val="30"/>
          <w:szCs w:val="30"/>
        </w:rPr>
        <w:t>[5</w:t>
      </w:r>
      <w:r w:rsidR="00296CD4">
        <w:rPr>
          <w:rFonts w:eastAsia="Arial Unicode MS"/>
          <w:sz w:val="30"/>
          <w:szCs w:val="30"/>
        </w:rPr>
        <w:t xml:space="preserve">] </w:t>
      </w:r>
      <w:r w:rsidR="00CC2E1B">
        <w:rPr>
          <w:rFonts w:eastAsia="Arial Unicode MS"/>
          <w:sz w:val="30"/>
          <w:szCs w:val="30"/>
        </w:rPr>
        <w:t xml:space="preserve">   </w:t>
      </w:r>
      <w:r w:rsidR="00296CD4">
        <w:rPr>
          <w:rFonts w:eastAsia="Arial Unicode MS"/>
          <w:sz w:val="30"/>
          <w:szCs w:val="30"/>
        </w:rPr>
        <w:t>It</w:t>
      </w:r>
      <w:r>
        <w:rPr>
          <w:rFonts w:eastAsia="Arial Unicode MS"/>
          <w:sz w:val="30"/>
          <w:szCs w:val="30"/>
        </w:rPr>
        <w:t xml:space="preserve"> seems to me that the appellant’s counsel has ignored the other relevant provisions of the </w:t>
      </w:r>
      <w:r w:rsidR="00296CD4">
        <w:rPr>
          <w:rFonts w:eastAsia="Arial Unicode MS"/>
          <w:sz w:val="30"/>
          <w:szCs w:val="30"/>
        </w:rPr>
        <w:t>Constitution</w:t>
      </w:r>
      <w:r>
        <w:rPr>
          <w:rFonts w:eastAsia="Arial Unicode MS"/>
          <w:sz w:val="30"/>
          <w:szCs w:val="30"/>
        </w:rPr>
        <w:t xml:space="preserve"> such as sections 4, 15</w:t>
      </w:r>
      <w:r w:rsidR="00D11765">
        <w:rPr>
          <w:rFonts w:eastAsia="Arial Unicode MS"/>
          <w:sz w:val="30"/>
          <w:szCs w:val="30"/>
        </w:rPr>
        <w:t xml:space="preserve">1 </w:t>
      </w:r>
      <w:r>
        <w:rPr>
          <w:rFonts w:eastAsia="Arial Unicode MS"/>
          <w:sz w:val="30"/>
          <w:szCs w:val="30"/>
        </w:rPr>
        <w:t xml:space="preserve">(8) and 252.  In particular, counsel has ignored the material provisions of </w:t>
      </w:r>
      <w:r w:rsidR="00296CD4">
        <w:rPr>
          <w:rFonts w:eastAsia="Arial Unicode MS"/>
          <w:sz w:val="30"/>
          <w:szCs w:val="30"/>
        </w:rPr>
        <w:t>subsection</w:t>
      </w:r>
      <w:r>
        <w:rPr>
          <w:rFonts w:eastAsia="Arial Unicode MS"/>
          <w:sz w:val="30"/>
          <w:szCs w:val="30"/>
        </w:rPr>
        <w:t xml:space="preserve"> 151 (3) (b) which provides as follows:-</w:t>
      </w:r>
    </w:p>
    <w:p w:rsidR="00171239" w:rsidRDefault="00171239" w:rsidP="00562BF6">
      <w:pPr>
        <w:spacing w:line="480" w:lineRule="auto"/>
        <w:jc w:val="both"/>
        <w:rPr>
          <w:rFonts w:eastAsia="Arial Unicode MS"/>
          <w:sz w:val="30"/>
          <w:szCs w:val="30"/>
        </w:rPr>
      </w:pPr>
    </w:p>
    <w:p w:rsidR="00171239" w:rsidRDefault="00171239" w:rsidP="003761A5">
      <w:pPr>
        <w:tabs>
          <w:tab w:val="left" w:pos="1080"/>
          <w:tab w:val="left" w:pos="1170"/>
          <w:tab w:val="left" w:pos="1260"/>
        </w:tabs>
        <w:spacing w:line="480" w:lineRule="auto"/>
        <w:ind w:firstLine="720"/>
        <w:jc w:val="both"/>
        <w:rPr>
          <w:rFonts w:eastAsia="Arial Unicode MS"/>
          <w:i/>
          <w:sz w:val="30"/>
          <w:szCs w:val="30"/>
        </w:rPr>
      </w:pPr>
      <w:r>
        <w:rPr>
          <w:rFonts w:eastAsia="Arial Unicode MS"/>
          <w:i/>
          <w:sz w:val="30"/>
          <w:szCs w:val="30"/>
        </w:rPr>
        <w:t>“(3</w:t>
      </w:r>
      <w:r w:rsidR="003761A5">
        <w:rPr>
          <w:rFonts w:eastAsia="Arial Unicode MS"/>
          <w:i/>
          <w:sz w:val="30"/>
          <w:szCs w:val="30"/>
        </w:rPr>
        <w:t xml:space="preserve">) </w:t>
      </w:r>
      <w:proofErr w:type="gramStart"/>
      <w:r w:rsidR="003761A5">
        <w:rPr>
          <w:rFonts w:eastAsia="Arial Unicode MS"/>
          <w:i/>
          <w:sz w:val="30"/>
          <w:szCs w:val="30"/>
        </w:rPr>
        <w:t>Notwithstanding</w:t>
      </w:r>
      <w:proofErr w:type="gramEnd"/>
      <w:r>
        <w:rPr>
          <w:rFonts w:eastAsia="Arial Unicode MS"/>
          <w:i/>
          <w:sz w:val="30"/>
          <w:szCs w:val="30"/>
        </w:rPr>
        <w:t xml:space="preserve"> the provisions of </w:t>
      </w:r>
      <w:r w:rsidR="00296CD4">
        <w:rPr>
          <w:rFonts w:eastAsia="Arial Unicode MS"/>
          <w:i/>
          <w:sz w:val="30"/>
          <w:szCs w:val="30"/>
        </w:rPr>
        <w:t>subsection</w:t>
      </w:r>
      <w:r>
        <w:rPr>
          <w:rFonts w:eastAsia="Arial Unicode MS"/>
          <w:i/>
          <w:sz w:val="30"/>
          <w:szCs w:val="30"/>
        </w:rPr>
        <w:t xml:space="preserve"> (1), the High </w:t>
      </w:r>
    </w:p>
    <w:p w:rsidR="00171239" w:rsidRPr="00171239" w:rsidRDefault="00171239" w:rsidP="00CC2E1B">
      <w:pPr>
        <w:spacing w:line="480" w:lineRule="auto"/>
        <w:ind w:firstLine="720"/>
        <w:jc w:val="both"/>
        <w:rPr>
          <w:rFonts w:eastAsia="Arial Unicode MS"/>
          <w:i/>
          <w:sz w:val="30"/>
          <w:szCs w:val="30"/>
        </w:rPr>
      </w:pPr>
      <w:r>
        <w:rPr>
          <w:rFonts w:eastAsia="Arial Unicode MS"/>
          <w:i/>
          <w:sz w:val="30"/>
          <w:szCs w:val="30"/>
        </w:rPr>
        <w:t xml:space="preserve">       </w:t>
      </w:r>
      <w:r w:rsidR="00E83CE7">
        <w:rPr>
          <w:rFonts w:eastAsia="Arial Unicode MS"/>
          <w:i/>
          <w:sz w:val="30"/>
          <w:szCs w:val="30"/>
        </w:rPr>
        <w:t xml:space="preserve"> </w:t>
      </w:r>
      <w:r>
        <w:rPr>
          <w:rFonts w:eastAsia="Arial Unicode MS"/>
          <w:i/>
          <w:sz w:val="30"/>
          <w:szCs w:val="30"/>
        </w:rPr>
        <w:t>Court –</w:t>
      </w:r>
    </w:p>
    <w:p w:rsidR="00783E3C" w:rsidRDefault="00171239" w:rsidP="00E83CE7">
      <w:pPr>
        <w:pStyle w:val="ListParagraph"/>
        <w:numPr>
          <w:ilvl w:val="0"/>
          <w:numId w:val="7"/>
        </w:numPr>
        <w:ind w:hanging="450"/>
        <w:jc w:val="both"/>
        <w:rPr>
          <w:rFonts w:eastAsia="Arial Unicode MS"/>
          <w:i/>
          <w:sz w:val="30"/>
          <w:szCs w:val="30"/>
        </w:rPr>
      </w:pPr>
      <w:r w:rsidRPr="00171239">
        <w:rPr>
          <w:rFonts w:eastAsia="Arial Unicode MS"/>
          <w:i/>
          <w:sz w:val="30"/>
          <w:szCs w:val="30"/>
        </w:rPr>
        <w:t xml:space="preserve">  </w:t>
      </w:r>
      <w:r w:rsidR="00CC2E1B">
        <w:rPr>
          <w:rFonts w:eastAsia="Arial Unicode MS"/>
          <w:i/>
          <w:sz w:val="30"/>
          <w:szCs w:val="30"/>
        </w:rPr>
        <w:t xml:space="preserve"> </w:t>
      </w:r>
      <w:r w:rsidRPr="00171239">
        <w:rPr>
          <w:rFonts w:eastAsia="Arial Unicode MS"/>
          <w:i/>
          <w:sz w:val="30"/>
          <w:szCs w:val="30"/>
        </w:rPr>
        <w:t xml:space="preserve"> ---</w:t>
      </w:r>
    </w:p>
    <w:p w:rsidR="00CC2E1B" w:rsidRPr="00171239" w:rsidRDefault="00CC2E1B" w:rsidP="00CC2E1B">
      <w:pPr>
        <w:pStyle w:val="ListParagraph"/>
        <w:ind w:left="1800"/>
        <w:jc w:val="both"/>
        <w:rPr>
          <w:rFonts w:eastAsia="Arial Unicode MS"/>
          <w:i/>
          <w:sz w:val="30"/>
          <w:szCs w:val="30"/>
        </w:rPr>
      </w:pPr>
    </w:p>
    <w:p w:rsidR="00171239" w:rsidRPr="00171239" w:rsidRDefault="00CC2E1B" w:rsidP="00E83CE7">
      <w:pPr>
        <w:pStyle w:val="ListParagraph"/>
        <w:numPr>
          <w:ilvl w:val="0"/>
          <w:numId w:val="7"/>
        </w:numPr>
        <w:spacing w:line="360" w:lineRule="auto"/>
        <w:ind w:left="2070" w:hanging="720"/>
        <w:jc w:val="both"/>
        <w:rPr>
          <w:rFonts w:eastAsia="Arial Unicode MS"/>
          <w:i/>
          <w:sz w:val="30"/>
          <w:szCs w:val="30"/>
        </w:rPr>
      </w:pPr>
      <w:proofErr w:type="gramStart"/>
      <w:r>
        <w:rPr>
          <w:rFonts w:eastAsia="Arial Unicode MS"/>
          <w:i/>
          <w:sz w:val="30"/>
          <w:szCs w:val="30"/>
        </w:rPr>
        <w:t>h</w:t>
      </w:r>
      <w:r w:rsidR="00171239" w:rsidRPr="00171239">
        <w:rPr>
          <w:rFonts w:eastAsia="Arial Unicode MS"/>
          <w:i/>
          <w:sz w:val="30"/>
          <w:szCs w:val="30"/>
        </w:rPr>
        <w:t>as</w:t>
      </w:r>
      <w:proofErr w:type="gramEnd"/>
      <w:r w:rsidR="00171239" w:rsidRPr="00171239">
        <w:rPr>
          <w:rFonts w:eastAsia="Arial Unicode MS"/>
          <w:i/>
          <w:sz w:val="30"/>
          <w:szCs w:val="30"/>
        </w:rPr>
        <w:t xml:space="preserve"> no original but has review and appellate jurisdiction in matters in which a Swazi Court or Court Martial has jurisdiction under any law for the time being in force.”</w:t>
      </w:r>
    </w:p>
    <w:p w:rsidR="00171239" w:rsidRPr="00171239" w:rsidRDefault="00171239" w:rsidP="00171239">
      <w:pPr>
        <w:spacing w:line="480" w:lineRule="auto"/>
        <w:jc w:val="both"/>
        <w:rPr>
          <w:rFonts w:eastAsia="Arial Unicode MS"/>
          <w:i/>
          <w:sz w:val="30"/>
          <w:szCs w:val="30"/>
        </w:rPr>
      </w:pPr>
    </w:p>
    <w:p w:rsidR="00947589" w:rsidRDefault="00171239" w:rsidP="0030407A">
      <w:pPr>
        <w:pStyle w:val="ListParagraph"/>
        <w:spacing w:line="480" w:lineRule="auto"/>
        <w:ind w:hanging="720"/>
        <w:jc w:val="both"/>
        <w:rPr>
          <w:rFonts w:eastAsia="Arial Unicode MS"/>
          <w:sz w:val="30"/>
          <w:szCs w:val="30"/>
        </w:rPr>
      </w:pPr>
      <w:r>
        <w:rPr>
          <w:rFonts w:eastAsia="Arial Unicode MS"/>
          <w:sz w:val="30"/>
          <w:szCs w:val="30"/>
        </w:rPr>
        <w:lastRenderedPageBreak/>
        <w:t>[6]</w:t>
      </w:r>
      <w:r>
        <w:rPr>
          <w:rFonts w:eastAsia="Arial Unicode MS"/>
          <w:sz w:val="30"/>
          <w:szCs w:val="30"/>
        </w:rPr>
        <w:tab/>
        <w:t xml:space="preserve">Properly construed, what this subsection means is that in a matter where a Swazi Court </w:t>
      </w:r>
      <w:r w:rsidR="00172A88">
        <w:rPr>
          <w:rFonts w:eastAsia="Arial Unicode MS"/>
          <w:sz w:val="30"/>
          <w:szCs w:val="30"/>
        </w:rPr>
        <w:t>has jurisdiction, litigants must first exhaust the local remedies before bringing the matter to the High Court on appeal or review as the case may be.</w:t>
      </w:r>
      <w:r w:rsidR="00D76C3F">
        <w:rPr>
          <w:rFonts w:eastAsia="Arial Unicode MS"/>
          <w:sz w:val="30"/>
          <w:szCs w:val="30"/>
        </w:rPr>
        <w:t xml:space="preserve">  In this regard it requires to be stressed that s 151 (3) (b) of the Constitution is decidedly dominant.</w:t>
      </w:r>
      <w:r w:rsidR="008F68C5">
        <w:rPr>
          <w:rFonts w:eastAsia="Arial Unicode MS"/>
          <w:sz w:val="30"/>
          <w:szCs w:val="30"/>
        </w:rPr>
        <w:t xml:space="preserve">  Subsection 151 (1) (a) is subservient to it.</w:t>
      </w:r>
    </w:p>
    <w:p w:rsidR="00172A88" w:rsidRDefault="00172A88" w:rsidP="00171239">
      <w:pPr>
        <w:pStyle w:val="ListParagraph"/>
        <w:spacing w:line="480" w:lineRule="auto"/>
        <w:ind w:hanging="720"/>
        <w:rPr>
          <w:rFonts w:eastAsia="Arial Unicode MS"/>
          <w:sz w:val="30"/>
          <w:szCs w:val="30"/>
        </w:rPr>
      </w:pPr>
    </w:p>
    <w:p w:rsidR="00172A88" w:rsidRDefault="00172A88" w:rsidP="0030407A">
      <w:pPr>
        <w:pStyle w:val="ListParagraph"/>
        <w:spacing w:line="480" w:lineRule="auto"/>
        <w:ind w:hanging="720"/>
        <w:jc w:val="both"/>
        <w:rPr>
          <w:rFonts w:eastAsia="Arial Unicode MS"/>
          <w:sz w:val="30"/>
          <w:szCs w:val="30"/>
        </w:rPr>
      </w:pPr>
      <w:r>
        <w:rPr>
          <w:rFonts w:eastAsia="Arial Unicode MS"/>
          <w:sz w:val="30"/>
          <w:szCs w:val="30"/>
        </w:rPr>
        <w:t>[7]</w:t>
      </w:r>
      <w:r>
        <w:rPr>
          <w:rFonts w:eastAsia="Arial Unicode MS"/>
          <w:sz w:val="30"/>
          <w:szCs w:val="30"/>
        </w:rPr>
        <w:tab/>
        <w:t>For the avoidance of doubt, it is necessary to observe that the jurisdiction of the Swazi National Courts is derived from s 9 of the Swazi Courts Act No. 80 of 1950.  It provides as follows:-</w:t>
      </w:r>
    </w:p>
    <w:p w:rsidR="00172A88" w:rsidRDefault="00172A88" w:rsidP="00171239">
      <w:pPr>
        <w:pStyle w:val="ListParagraph"/>
        <w:spacing w:line="480" w:lineRule="auto"/>
        <w:ind w:hanging="720"/>
        <w:rPr>
          <w:rFonts w:eastAsia="Arial Unicode MS"/>
          <w:sz w:val="30"/>
          <w:szCs w:val="30"/>
        </w:rPr>
      </w:pPr>
    </w:p>
    <w:p w:rsidR="00172A88" w:rsidRDefault="00172A88" w:rsidP="0030407A">
      <w:pPr>
        <w:spacing w:line="360" w:lineRule="auto"/>
        <w:ind w:left="720" w:firstLine="720"/>
        <w:jc w:val="both"/>
        <w:rPr>
          <w:rFonts w:eastAsia="Arial Unicode MS"/>
          <w:i/>
          <w:sz w:val="30"/>
          <w:szCs w:val="30"/>
        </w:rPr>
      </w:pPr>
      <w:r w:rsidRPr="00172A88">
        <w:rPr>
          <w:rFonts w:eastAsia="Arial Unicode MS"/>
          <w:i/>
          <w:sz w:val="30"/>
          <w:szCs w:val="30"/>
        </w:rPr>
        <w:t>“7</w:t>
      </w:r>
      <w:r w:rsidR="00296CD4" w:rsidRPr="00172A88">
        <w:rPr>
          <w:rFonts w:eastAsia="Arial Unicode MS"/>
          <w:i/>
          <w:sz w:val="30"/>
          <w:szCs w:val="30"/>
        </w:rPr>
        <w:t>. Every</w:t>
      </w:r>
      <w:r w:rsidRPr="00172A88">
        <w:rPr>
          <w:rFonts w:eastAsia="Arial Unicode MS"/>
          <w:i/>
          <w:sz w:val="30"/>
          <w:szCs w:val="30"/>
        </w:rPr>
        <w:t xml:space="preserve"> Swazi Court shall exercise civil jurisdiction, to </w:t>
      </w:r>
    </w:p>
    <w:p w:rsidR="00172A88" w:rsidRDefault="00D45025" w:rsidP="0030407A">
      <w:pPr>
        <w:spacing w:line="360" w:lineRule="auto"/>
        <w:ind w:left="1350" w:firstLine="90"/>
        <w:jc w:val="both"/>
        <w:rPr>
          <w:rFonts w:eastAsia="Arial Unicode MS"/>
          <w:i/>
          <w:sz w:val="30"/>
          <w:szCs w:val="30"/>
        </w:rPr>
      </w:pPr>
      <w:r>
        <w:rPr>
          <w:rFonts w:eastAsia="Arial Unicode MS"/>
          <w:i/>
          <w:sz w:val="30"/>
          <w:szCs w:val="30"/>
        </w:rPr>
        <w:t xml:space="preserve">the </w:t>
      </w:r>
      <w:r w:rsidR="00172A88" w:rsidRPr="00172A88">
        <w:rPr>
          <w:rFonts w:eastAsia="Arial Unicode MS"/>
          <w:i/>
          <w:sz w:val="30"/>
          <w:szCs w:val="30"/>
        </w:rPr>
        <w:t>extent set out in</w:t>
      </w:r>
      <w:r>
        <w:rPr>
          <w:rFonts w:eastAsia="Arial Unicode MS"/>
          <w:i/>
          <w:sz w:val="30"/>
          <w:szCs w:val="30"/>
        </w:rPr>
        <w:t xml:space="preserve"> its warrant and subject to the </w:t>
      </w:r>
      <w:r>
        <w:rPr>
          <w:rFonts w:eastAsia="Arial Unicode MS"/>
          <w:i/>
          <w:sz w:val="30"/>
          <w:szCs w:val="30"/>
        </w:rPr>
        <w:tab/>
      </w:r>
      <w:r w:rsidR="00172A88" w:rsidRPr="00172A88">
        <w:rPr>
          <w:rFonts w:eastAsia="Arial Unicode MS"/>
          <w:i/>
          <w:sz w:val="30"/>
          <w:szCs w:val="30"/>
        </w:rPr>
        <w:t>provisions of the Act, over causes and matte</w:t>
      </w:r>
      <w:r>
        <w:rPr>
          <w:rFonts w:eastAsia="Arial Unicode MS"/>
          <w:i/>
          <w:sz w:val="30"/>
          <w:szCs w:val="30"/>
        </w:rPr>
        <w:t>rs</w:t>
      </w:r>
      <w:r w:rsidR="00172A88" w:rsidRPr="00172A88">
        <w:rPr>
          <w:rFonts w:eastAsia="Arial Unicode MS"/>
          <w:i/>
          <w:sz w:val="30"/>
          <w:szCs w:val="30"/>
        </w:rPr>
        <w:t xml:space="preserve"> in</w:t>
      </w:r>
      <w:r>
        <w:rPr>
          <w:rFonts w:eastAsia="Arial Unicode MS"/>
          <w:i/>
          <w:sz w:val="30"/>
          <w:szCs w:val="30"/>
        </w:rPr>
        <w:t xml:space="preserve"> which all the parties are members of the Swazi nation and the defendant is ordinar</w:t>
      </w:r>
      <w:r w:rsidR="00967F00">
        <w:rPr>
          <w:rFonts w:eastAsia="Arial Unicode MS"/>
          <w:i/>
          <w:sz w:val="30"/>
          <w:szCs w:val="30"/>
        </w:rPr>
        <w:t>il</w:t>
      </w:r>
      <w:r>
        <w:rPr>
          <w:rFonts w:eastAsia="Arial Unicode MS"/>
          <w:i/>
          <w:sz w:val="30"/>
          <w:szCs w:val="30"/>
        </w:rPr>
        <w:t>y resident, or the cause of action shall have arisen, within the area of jurisdiction of the Court.”</w:t>
      </w:r>
    </w:p>
    <w:p w:rsidR="00D45025" w:rsidRDefault="00D45025" w:rsidP="0030407A">
      <w:pPr>
        <w:spacing w:line="360" w:lineRule="auto"/>
        <w:ind w:left="720" w:firstLine="720"/>
        <w:jc w:val="both"/>
        <w:rPr>
          <w:rFonts w:eastAsia="Arial Unicode MS"/>
          <w:i/>
          <w:sz w:val="30"/>
          <w:szCs w:val="30"/>
        </w:rPr>
      </w:pPr>
    </w:p>
    <w:p w:rsidR="00D45025" w:rsidRDefault="00D45025" w:rsidP="00D45025">
      <w:pPr>
        <w:spacing w:line="360" w:lineRule="auto"/>
        <w:ind w:left="720" w:firstLine="720"/>
        <w:jc w:val="both"/>
        <w:rPr>
          <w:rFonts w:eastAsia="Arial Unicode MS"/>
          <w:i/>
          <w:sz w:val="30"/>
          <w:szCs w:val="30"/>
        </w:rPr>
      </w:pPr>
    </w:p>
    <w:p w:rsidR="00D45025" w:rsidRDefault="00D45025" w:rsidP="00D45025">
      <w:pPr>
        <w:spacing w:line="480" w:lineRule="auto"/>
        <w:ind w:left="720"/>
        <w:jc w:val="both"/>
        <w:rPr>
          <w:rFonts w:eastAsia="Arial Unicode MS"/>
          <w:sz w:val="30"/>
          <w:szCs w:val="30"/>
        </w:rPr>
      </w:pPr>
      <w:r>
        <w:rPr>
          <w:rFonts w:eastAsia="Arial Unicode MS"/>
          <w:sz w:val="30"/>
          <w:szCs w:val="30"/>
        </w:rPr>
        <w:t xml:space="preserve">It is not in dispute that the homestead forming the subject matter of the dispute in this case is situated within the area of </w:t>
      </w:r>
      <w:r>
        <w:rPr>
          <w:rFonts w:eastAsia="Arial Unicode MS"/>
          <w:sz w:val="30"/>
          <w:szCs w:val="30"/>
        </w:rPr>
        <w:lastRenderedPageBreak/>
        <w:t xml:space="preserve">jurisdiction of the </w:t>
      </w:r>
      <w:r w:rsidR="00967F00">
        <w:rPr>
          <w:rFonts w:eastAsia="Arial Unicode MS"/>
          <w:sz w:val="30"/>
          <w:szCs w:val="30"/>
        </w:rPr>
        <w:t>c</w:t>
      </w:r>
      <w:r>
        <w:rPr>
          <w:rFonts w:eastAsia="Arial Unicode MS"/>
          <w:sz w:val="30"/>
          <w:szCs w:val="30"/>
        </w:rPr>
        <w:t>ourt</w:t>
      </w:r>
      <w:r w:rsidR="005A0FEF">
        <w:rPr>
          <w:rFonts w:eastAsia="Arial Unicode MS"/>
          <w:sz w:val="30"/>
          <w:szCs w:val="30"/>
        </w:rPr>
        <w:t xml:space="preserve"> specified in the </w:t>
      </w:r>
      <w:r w:rsidR="00127186">
        <w:rPr>
          <w:rFonts w:eastAsia="Arial Unicode MS"/>
          <w:sz w:val="30"/>
          <w:szCs w:val="30"/>
        </w:rPr>
        <w:t>s</w:t>
      </w:r>
      <w:r w:rsidR="005A0FEF">
        <w:rPr>
          <w:rFonts w:eastAsia="Arial Unicode MS"/>
          <w:sz w:val="30"/>
          <w:szCs w:val="30"/>
        </w:rPr>
        <w:t>ection</w:t>
      </w:r>
      <w:r>
        <w:rPr>
          <w:rFonts w:eastAsia="Arial Unicode MS"/>
          <w:sz w:val="30"/>
          <w:szCs w:val="30"/>
        </w:rPr>
        <w:t>.  I conclude, therefore, that the matter falls within the jurisdiction of the Swazi National Court.</w:t>
      </w:r>
    </w:p>
    <w:p w:rsidR="005A0FEF" w:rsidRDefault="005A0FEF" w:rsidP="00D45025">
      <w:pPr>
        <w:spacing w:line="480" w:lineRule="auto"/>
        <w:ind w:left="720"/>
        <w:jc w:val="both"/>
        <w:rPr>
          <w:rFonts w:eastAsia="Arial Unicode MS"/>
          <w:sz w:val="30"/>
          <w:szCs w:val="30"/>
        </w:rPr>
      </w:pPr>
    </w:p>
    <w:p w:rsidR="00D45025" w:rsidRDefault="00D45025" w:rsidP="00D45025">
      <w:pPr>
        <w:spacing w:line="480" w:lineRule="auto"/>
        <w:ind w:left="720" w:hanging="630"/>
        <w:jc w:val="both"/>
        <w:rPr>
          <w:rFonts w:eastAsia="Arial Unicode MS"/>
          <w:sz w:val="30"/>
          <w:szCs w:val="30"/>
        </w:rPr>
      </w:pPr>
      <w:r>
        <w:rPr>
          <w:rFonts w:eastAsia="Arial Unicode MS"/>
          <w:sz w:val="30"/>
          <w:szCs w:val="30"/>
        </w:rPr>
        <w:t xml:space="preserve"> [8]</w:t>
      </w:r>
      <w:r>
        <w:rPr>
          <w:rFonts w:eastAsia="Arial Unicode MS"/>
          <w:sz w:val="30"/>
          <w:szCs w:val="30"/>
        </w:rPr>
        <w:tab/>
        <w:t xml:space="preserve">Finally, and for the sake of brevity, I draw attention to the remarks of this Court in </w:t>
      </w:r>
      <w:r>
        <w:rPr>
          <w:rFonts w:eastAsia="Arial Unicode MS"/>
          <w:sz w:val="30"/>
          <w:szCs w:val="30"/>
          <w:u w:val="single"/>
        </w:rPr>
        <w:t>Maseko’s</w:t>
      </w:r>
      <w:r w:rsidRPr="00D45025">
        <w:rPr>
          <w:rFonts w:eastAsia="Arial Unicode MS"/>
          <w:sz w:val="30"/>
          <w:szCs w:val="30"/>
        </w:rPr>
        <w:t xml:space="preserve"> </w:t>
      </w:r>
      <w:r>
        <w:rPr>
          <w:rFonts w:eastAsia="Arial Unicode MS"/>
          <w:sz w:val="30"/>
          <w:szCs w:val="30"/>
        </w:rPr>
        <w:t xml:space="preserve">case </w:t>
      </w:r>
      <w:r>
        <w:rPr>
          <w:rFonts w:eastAsia="Arial Unicode MS"/>
          <w:i/>
          <w:sz w:val="30"/>
          <w:szCs w:val="30"/>
        </w:rPr>
        <w:t>supra</w:t>
      </w:r>
      <w:r>
        <w:rPr>
          <w:rFonts w:eastAsia="Arial Unicode MS"/>
          <w:sz w:val="30"/>
          <w:szCs w:val="30"/>
        </w:rPr>
        <w:t xml:space="preserve"> at para [22] namely:-</w:t>
      </w:r>
    </w:p>
    <w:p w:rsidR="00D45025" w:rsidRDefault="00D45025" w:rsidP="00D45025">
      <w:pPr>
        <w:spacing w:line="480" w:lineRule="auto"/>
        <w:ind w:left="720" w:hanging="630"/>
        <w:jc w:val="both"/>
        <w:rPr>
          <w:rFonts w:eastAsia="Arial Unicode MS"/>
          <w:sz w:val="30"/>
          <w:szCs w:val="30"/>
        </w:rPr>
      </w:pPr>
    </w:p>
    <w:p w:rsidR="00F009F9" w:rsidRDefault="00B42F5B" w:rsidP="00B42F5B">
      <w:pPr>
        <w:spacing w:line="480" w:lineRule="auto"/>
        <w:ind w:left="1350"/>
        <w:jc w:val="both"/>
        <w:rPr>
          <w:rFonts w:eastAsia="Arial Unicode MS"/>
          <w:i/>
          <w:sz w:val="30"/>
          <w:szCs w:val="30"/>
        </w:rPr>
      </w:pPr>
      <w:r>
        <w:rPr>
          <w:rFonts w:eastAsia="Arial Unicode MS"/>
          <w:i/>
          <w:sz w:val="30"/>
          <w:szCs w:val="30"/>
        </w:rPr>
        <w:t xml:space="preserve">“[22] It must be remembered, too, that there are traditional structures designed specifically to deal with settlement of disputes such as we have here…”  </w:t>
      </w:r>
      <w:r w:rsidRPr="00BB69C7">
        <w:rPr>
          <w:rFonts w:eastAsia="Arial Unicode MS"/>
          <w:sz w:val="30"/>
          <w:szCs w:val="30"/>
        </w:rPr>
        <w:t>This is such a case.</w:t>
      </w:r>
      <w:r>
        <w:rPr>
          <w:rFonts w:eastAsia="Arial Unicode MS"/>
          <w:i/>
          <w:sz w:val="30"/>
          <w:szCs w:val="30"/>
        </w:rPr>
        <w:t xml:space="preserve">  </w:t>
      </w:r>
    </w:p>
    <w:p w:rsidR="00F009F9" w:rsidRDefault="00F009F9" w:rsidP="00B42F5B">
      <w:pPr>
        <w:spacing w:line="480" w:lineRule="auto"/>
        <w:ind w:left="1350"/>
        <w:jc w:val="both"/>
        <w:rPr>
          <w:rFonts w:eastAsia="Arial Unicode MS"/>
          <w:i/>
          <w:sz w:val="30"/>
          <w:szCs w:val="30"/>
        </w:rPr>
      </w:pPr>
    </w:p>
    <w:p w:rsidR="00B42F5B" w:rsidRDefault="00B42F5B" w:rsidP="00B42F5B">
      <w:pPr>
        <w:spacing w:line="480" w:lineRule="auto"/>
        <w:ind w:left="1350"/>
        <w:jc w:val="both"/>
        <w:rPr>
          <w:rFonts w:eastAsia="Arial Unicode MS"/>
          <w:sz w:val="30"/>
          <w:szCs w:val="30"/>
        </w:rPr>
      </w:pPr>
      <w:r>
        <w:rPr>
          <w:rFonts w:eastAsia="Arial Unicode MS"/>
          <w:i/>
          <w:sz w:val="30"/>
          <w:szCs w:val="30"/>
        </w:rPr>
        <w:t xml:space="preserve">See also </w:t>
      </w:r>
      <w:proofErr w:type="spellStart"/>
      <w:r>
        <w:rPr>
          <w:rFonts w:eastAsia="Arial Unicode MS"/>
          <w:b/>
          <w:i/>
          <w:sz w:val="30"/>
          <w:szCs w:val="30"/>
          <w:u w:val="single"/>
        </w:rPr>
        <w:t>Maziya</w:t>
      </w:r>
      <w:proofErr w:type="spellEnd"/>
      <w:r>
        <w:rPr>
          <w:rFonts w:eastAsia="Arial Unicode MS"/>
          <w:b/>
          <w:i/>
          <w:sz w:val="30"/>
          <w:szCs w:val="30"/>
          <w:u w:val="single"/>
        </w:rPr>
        <w:t xml:space="preserve"> </w:t>
      </w:r>
      <w:proofErr w:type="spellStart"/>
      <w:r>
        <w:rPr>
          <w:rFonts w:eastAsia="Arial Unicode MS"/>
          <w:b/>
          <w:i/>
          <w:sz w:val="30"/>
          <w:szCs w:val="30"/>
          <w:u w:val="single"/>
        </w:rPr>
        <w:t>Ntombi</w:t>
      </w:r>
      <w:proofErr w:type="spellEnd"/>
      <w:r>
        <w:rPr>
          <w:rFonts w:eastAsia="Arial Unicode MS"/>
          <w:b/>
          <w:i/>
          <w:sz w:val="30"/>
          <w:szCs w:val="30"/>
          <w:u w:val="single"/>
        </w:rPr>
        <w:t xml:space="preserve"> v </w:t>
      </w:r>
      <w:proofErr w:type="spellStart"/>
      <w:r>
        <w:rPr>
          <w:rFonts w:eastAsia="Arial Unicode MS"/>
          <w:b/>
          <w:i/>
          <w:sz w:val="30"/>
          <w:szCs w:val="30"/>
          <w:u w:val="single"/>
        </w:rPr>
        <w:t>Ndzimandze</w:t>
      </w:r>
      <w:proofErr w:type="spellEnd"/>
      <w:r w:rsidR="00F009F9">
        <w:rPr>
          <w:rFonts w:eastAsia="Arial Unicode MS"/>
          <w:b/>
          <w:i/>
          <w:sz w:val="30"/>
          <w:szCs w:val="30"/>
          <w:u w:val="single"/>
        </w:rPr>
        <w:t>,</w:t>
      </w:r>
      <w:r w:rsidR="00F009F9" w:rsidRPr="00F009F9">
        <w:rPr>
          <w:rFonts w:eastAsia="Arial Unicode MS"/>
          <w:b/>
          <w:i/>
          <w:sz w:val="30"/>
          <w:szCs w:val="30"/>
          <w:u w:val="single"/>
        </w:rPr>
        <w:t xml:space="preserve"> </w:t>
      </w:r>
      <w:proofErr w:type="spellStart"/>
      <w:r w:rsidR="00F009F9">
        <w:rPr>
          <w:rFonts w:eastAsia="Arial Unicode MS"/>
          <w:b/>
          <w:i/>
          <w:sz w:val="30"/>
          <w:szCs w:val="30"/>
          <w:u w:val="single"/>
        </w:rPr>
        <w:t>Thembinkosi</w:t>
      </w:r>
      <w:proofErr w:type="spellEnd"/>
      <w:r w:rsidR="00F009F9">
        <w:rPr>
          <w:rFonts w:eastAsia="Arial Unicode MS"/>
          <w:b/>
          <w:i/>
          <w:sz w:val="30"/>
          <w:szCs w:val="30"/>
          <w:u w:val="single"/>
        </w:rPr>
        <w:t xml:space="preserve">, </w:t>
      </w:r>
      <w:r w:rsidR="00980548">
        <w:rPr>
          <w:rFonts w:eastAsia="Arial Unicode MS"/>
          <w:b/>
          <w:i/>
          <w:sz w:val="30"/>
          <w:szCs w:val="30"/>
          <w:u w:val="single"/>
        </w:rPr>
        <w:t>C</w:t>
      </w:r>
      <w:r w:rsidR="00F009F9">
        <w:rPr>
          <w:rFonts w:eastAsia="Arial Unicode MS"/>
          <w:b/>
          <w:i/>
          <w:sz w:val="30"/>
          <w:szCs w:val="30"/>
          <w:u w:val="single"/>
        </w:rPr>
        <w:t>ase No.02/12</w:t>
      </w:r>
      <w:r w:rsidR="00F009F9">
        <w:rPr>
          <w:rFonts w:eastAsia="Arial Unicode MS"/>
          <w:i/>
          <w:sz w:val="30"/>
          <w:szCs w:val="30"/>
        </w:rPr>
        <w:t xml:space="preserve">.  </w:t>
      </w:r>
      <w:r>
        <w:rPr>
          <w:rFonts w:eastAsia="Arial Unicode MS"/>
          <w:sz w:val="30"/>
          <w:szCs w:val="30"/>
        </w:rPr>
        <w:t>Indeed, it is common cause that the matter was pending before the Zombodze Umphakatsi where it was filed by none other than the appellant himself.  It follows that he could not bring the same matter to the High Court before exhausting the local remedies.</w:t>
      </w:r>
    </w:p>
    <w:p w:rsidR="00B42F5B" w:rsidRDefault="00B42F5B" w:rsidP="00B42F5B">
      <w:pPr>
        <w:spacing w:line="480" w:lineRule="auto"/>
        <w:ind w:left="1350"/>
        <w:jc w:val="both"/>
        <w:rPr>
          <w:rFonts w:eastAsia="Arial Unicode MS"/>
          <w:sz w:val="30"/>
          <w:szCs w:val="30"/>
        </w:rPr>
      </w:pPr>
    </w:p>
    <w:p w:rsidR="00B42F5B" w:rsidRDefault="00B42F5B" w:rsidP="00B42F5B">
      <w:pPr>
        <w:spacing w:line="480" w:lineRule="auto"/>
        <w:ind w:left="630" w:hanging="630"/>
        <w:jc w:val="both"/>
        <w:rPr>
          <w:rFonts w:eastAsia="Arial Unicode MS"/>
          <w:sz w:val="30"/>
          <w:szCs w:val="30"/>
        </w:rPr>
      </w:pPr>
      <w:r>
        <w:rPr>
          <w:rFonts w:eastAsia="Arial Unicode MS"/>
          <w:sz w:val="30"/>
          <w:szCs w:val="30"/>
        </w:rPr>
        <w:lastRenderedPageBreak/>
        <w:t>[9]    In all the circumstances of this case, therefore, there is no merit in the appeal.  The High Court had no jurisdiction.  The appeal is accordingly dismissed with costs.</w:t>
      </w:r>
    </w:p>
    <w:p w:rsidR="00BA5318" w:rsidRDefault="00BA5318" w:rsidP="00420837">
      <w:pPr>
        <w:spacing w:line="480" w:lineRule="auto"/>
        <w:jc w:val="both"/>
        <w:rPr>
          <w:rFonts w:eastAsia="Arial Unicode MS"/>
          <w:sz w:val="30"/>
          <w:szCs w:val="30"/>
        </w:rPr>
      </w:pPr>
    </w:p>
    <w:p w:rsidR="00420837" w:rsidRPr="00B42F5B" w:rsidRDefault="00420837" w:rsidP="00420837">
      <w:pPr>
        <w:spacing w:line="480" w:lineRule="auto"/>
        <w:jc w:val="both"/>
        <w:rPr>
          <w:rFonts w:eastAsia="Arial Unicode MS"/>
          <w:i/>
          <w:sz w:val="30"/>
          <w:szCs w:val="30"/>
        </w:rPr>
      </w:pPr>
    </w:p>
    <w:p w:rsidR="00BA5318" w:rsidRPr="00775896" w:rsidRDefault="00BA5318" w:rsidP="00BA5318">
      <w:pPr>
        <w:spacing w:line="360" w:lineRule="auto"/>
        <w:ind w:left="547" w:hanging="547"/>
        <w:jc w:val="both"/>
        <w:rPr>
          <w:rFonts w:eastAsia="Arial Unicode MS"/>
          <w:sz w:val="30"/>
          <w:szCs w:val="30"/>
        </w:rPr>
      </w:pP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Pr>
          <w:rFonts w:eastAsia="Arial Unicode MS"/>
          <w:sz w:val="30"/>
          <w:szCs w:val="30"/>
        </w:rPr>
        <w:tab/>
      </w:r>
      <w:r w:rsidRPr="00775896">
        <w:rPr>
          <w:rFonts w:eastAsia="Arial Unicode MS"/>
          <w:sz w:val="30"/>
          <w:szCs w:val="30"/>
        </w:rPr>
        <w:tab/>
      </w:r>
      <w:r w:rsidRPr="00775896">
        <w:rPr>
          <w:rFonts w:eastAsia="Arial Unicode MS"/>
          <w:sz w:val="30"/>
          <w:szCs w:val="30"/>
        </w:rPr>
        <w:tab/>
      </w:r>
      <w:r w:rsidRPr="00775896">
        <w:rPr>
          <w:rFonts w:eastAsia="Arial Unicode MS"/>
          <w:b/>
          <w:sz w:val="30"/>
          <w:szCs w:val="30"/>
        </w:rPr>
        <w:t>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M.M. RAMODIBEDI</w:t>
      </w:r>
    </w:p>
    <w:p w:rsidR="00BA5318" w:rsidRPr="00775896" w:rsidRDefault="00BA5318" w:rsidP="00BA5318">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CHIEF JUSTICE </w:t>
      </w:r>
    </w:p>
    <w:p w:rsidR="00BA5318" w:rsidRDefault="00BA5318" w:rsidP="00BA5318">
      <w:pPr>
        <w:spacing w:line="360" w:lineRule="auto"/>
        <w:jc w:val="both"/>
        <w:rPr>
          <w:rFonts w:eastAsia="Arial Unicode MS"/>
          <w:b/>
          <w:sz w:val="30"/>
          <w:szCs w:val="30"/>
        </w:rPr>
      </w:pPr>
    </w:p>
    <w:p w:rsidR="00B42F5B" w:rsidRDefault="00B42F5B" w:rsidP="00BA5318">
      <w:pPr>
        <w:spacing w:line="360" w:lineRule="auto"/>
        <w:jc w:val="both"/>
        <w:rPr>
          <w:rFonts w:eastAsia="Arial Unicode MS"/>
          <w:b/>
          <w:sz w:val="30"/>
          <w:szCs w:val="30"/>
        </w:rPr>
      </w:pPr>
    </w:p>
    <w:p w:rsidR="00420837" w:rsidRDefault="00420837" w:rsidP="00BA5318">
      <w:pPr>
        <w:spacing w:line="360" w:lineRule="auto"/>
        <w:jc w:val="both"/>
        <w:rPr>
          <w:rFonts w:eastAsia="Arial Unicode MS"/>
          <w:b/>
          <w:sz w:val="30"/>
          <w:szCs w:val="30"/>
        </w:rPr>
      </w:pPr>
    </w:p>
    <w:p w:rsidR="00BA5318" w:rsidRDefault="00BA5318" w:rsidP="00BA5318">
      <w:pPr>
        <w:spacing w:line="360" w:lineRule="auto"/>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____________________________</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Pr>
          <w:rFonts w:eastAsia="Arial Unicode MS"/>
          <w:b/>
          <w:sz w:val="30"/>
          <w:szCs w:val="30"/>
        </w:rPr>
        <w:t>A. M. EBRAHIM</w:t>
      </w:r>
    </w:p>
    <w:p w:rsidR="00BA5318" w:rsidRPr="00775896" w:rsidRDefault="00BA5318" w:rsidP="00BA5318">
      <w:pPr>
        <w:spacing w:line="360" w:lineRule="auto"/>
        <w:jc w:val="both"/>
        <w:rPr>
          <w:rFonts w:eastAsia="Arial Unicode MS"/>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JUSTICE OF APPEAL</w:t>
      </w:r>
    </w:p>
    <w:p w:rsidR="00BA5318" w:rsidRPr="00775896" w:rsidRDefault="00BA5318" w:rsidP="00BA5318">
      <w:pPr>
        <w:spacing w:line="360" w:lineRule="auto"/>
        <w:ind w:left="720" w:hanging="720"/>
        <w:jc w:val="both"/>
        <w:rPr>
          <w:rFonts w:eastAsia="Arial Unicode MS"/>
          <w:b/>
          <w:sz w:val="30"/>
          <w:szCs w:val="30"/>
        </w:rPr>
      </w:pPr>
    </w:p>
    <w:p w:rsidR="00BA5318" w:rsidRDefault="00BA5318" w:rsidP="00BA5318">
      <w:pPr>
        <w:spacing w:line="360" w:lineRule="auto"/>
        <w:jc w:val="both"/>
        <w:rPr>
          <w:rFonts w:eastAsia="Arial Unicode MS"/>
          <w:b/>
          <w:sz w:val="30"/>
          <w:szCs w:val="30"/>
        </w:rPr>
      </w:pPr>
    </w:p>
    <w:p w:rsidR="00B42F5B" w:rsidRDefault="00B42F5B" w:rsidP="00B42F5B">
      <w:pPr>
        <w:spacing w:line="360" w:lineRule="auto"/>
        <w:jc w:val="both"/>
        <w:rPr>
          <w:rFonts w:eastAsia="Arial Unicode MS"/>
          <w:b/>
          <w:sz w:val="30"/>
          <w:szCs w:val="30"/>
        </w:rPr>
      </w:pPr>
    </w:p>
    <w:p w:rsidR="00BA5318" w:rsidRPr="00775896" w:rsidRDefault="00BA5318" w:rsidP="00BA5318">
      <w:pPr>
        <w:spacing w:line="360" w:lineRule="auto"/>
        <w:ind w:left="720" w:hanging="720"/>
        <w:jc w:val="both"/>
        <w:rPr>
          <w:rFonts w:eastAsia="Arial Unicode MS"/>
          <w:b/>
          <w:sz w:val="30"/>
          <w:szCs w:val="30"/>
        </w:rPr>
      </w:pPr>
      <w:r w:rsidRPr="00775896">
        <w:rPr>
          <w:rFonts w:eastAsia="Arial Unicode MS"/>
          <w:b/>
          <w:sz w:val="30"/>
          <w:szCs w:val="30"/>
        </w:rPr>
        <w:t>I agree</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___________________________</w:t>
      </w:r>
    </w:p>
    <w:p w:rsidR="00BA5318" w:rsidRPr="00775896" w:rsidRDefault="00BA5318" w:rsidP="00BA5318">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Pr>
          <w:rFonts w:eastAsia="Arial Unicode MS"/>
          <w:b/>
          <w:sz w:val="30"/>
          <w:szCs w:val="30"/>
        </w:rPr>
        <w:t>DR S. TWUM</w:t>
      </w:r>
      <w:r w:rsidRPr="00775896">
        <w:rPr>
          <w:rFonts w:eastAsia="Arial Unicode MS"/>
          <w:b/>
          <w:sz w:val="30"/>
          <w:szCs w:val="30"/>
        </w:rPr>
        <w:t xml:space="preserve"> </w:t>
      </w:r>
    </w:p>
    <w:p w:rsidR="00BA5318" w:rsidRPr="00775896" w:rsidRDefault="00BA5318" w:rsidP="00BA5318">
      <w:pPr>
        <w:spacing w:line="360" w:lineRule="auto"/>
        <w:ind w:left="720" w:hanging="720"/>
        <w:jc w:val="both"/>
        <w:rPr>
          <w:rFonts w:eastAsia="Arial Unicode MS"/>
          <w:b/>
          <w:sz w:val="30"/>
          <w:szCs w:val="30"/>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JUSTICE OF APPEAL </w:t>
      </w:r>
    </w:p>
    <w:p w:rsidR="00BA5318" w:rsidRPr="00775896" w:rsidRDefault="00BA5318" w:rsidP="00BA5318">
      <w:pPr>
        <w:spacing w:line="360" w:lineRule="auto"/>
        <w:jc w:val="both"/>
        <w:rPr>
          <w:rFonts w:eastAsia="Arial Unicode MS"/>
          <w:b/>
          <w:sz w:val="30"/>
          <w:szCs w:val="30"/>
        </w:rPr>
      </w:pPr>
    </w:p>
    <w:p w:rsidR="00BA5318" w:rsidRPr="00775896" w:rsidRDefault="00BA5318" w:rsidP="00BA5318">
      <w:pPr>
        <w:spacing w:line="360" w:lineRule="auto"/>
        <w:jc w:val="both"/>
        <w:rPr>
          <w:rFonts w:eastAsia="Arial Unicode MS"/>
          <w:b/>
          <w:sz w:val="30"/>
          <w:szCs w:val="30"/>
        </w:rPr>
      </w:pPr>
    </w:p>
    <w:p w:rsidR="00BA5318" w:rsidRPr="00775896" w:rsidRDefault="00BA5318" w:rsidP="00420837">
      <w:pPr>
        <w:spacing w:line="360" w:lineRule="auto"/>
        <w:ind w:left="720" w:hanging="720"/>
        <w:jc w:val="both"/>
        <w:rPr>
          <w:rFonts w:eastAsia="Arial Unicode MS"/>
          <w:b/>
          <w:sz w:val="30"/>
          <w:szCs w:val="30"/>
        </w:rPr>
      </w:pPr>
      <w:r w:rsidRPr="00775896">
        <w:rPr>
          <w:rFonts w:eastAsia="Arial Unicode MS"/>
          <w:b/>
          <w:sz w:val="30"/>
          <w:szCs w:val="30"/>
        </w:rPr>
        <w:t xml:space="preserve">For Appellant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r>
      <w:r>
        <w:rPr>
          <w:rFonts w:eastAsia="Arial Unicode MS"/>
          <w:b/>
          <w:sz w:val="30"/>
          <w:szCs w:val="30"/>
        </w:rPr>
        <w:t xml:space="preserve">Mr. S.C. </w:t>
      </w:r>
      <w:proofErr w:type="spellStart"/>
      <w:r>
        <w:rPr>
          <w:rFonts w:eastAsia="Arial Unicode MS"/>
          <w:b/>
          <w:sz w:val="30"/>
          <w:szCs w:val="30"/>
        </w:rPr>
        <w:t>Dl</w:t>
      </w:r>
      <w:r w:rsidR="00296CD4">
        <w:rPr>
          <w:rFonts w:eastAsia="Arial Unicode MS"/>
          <w:b/>
          <w:sz w:val="30"/>
          <w:szCs w:val="30"/>
        </w:rPr>
        <w:t>a</w:t>
      </w:r>
      <w:r w:rsidR="00420837">
        <w:rPr>
          <w:rFonts w:eastAsia="Arial Unicode MS"/>
          <w:b/>
          <w:sz w:val="30"/>
          <w:szCs w:val="30"/>
        </w:rPr>
        <w:t>mini</w:t>
      </w:r>
      <w:proofErr w:type="spellEnd"/>
      <w:r w:rsidR="00420837">
        <w:rPr>
          <w:rFonts w:eastAsia="Arial Unicode MS"/>
          <w:b/>
          <w:sz w:val="30"/>
          <w:szCs w:val="30"/>
        </w:rPr>
        <w:tab/>
      </w:r>
      <w:r w:rsidR="00420837">
        <w:rPr>
          <w:rFonts w:eastAsia="Arial Unicode MS"/>
          <w:b/>
          <w:sz w:val="30"/>
          <w:szCs w:val="30"/>
        </w:rPr>
        <w:tab/>
      </w:r>
      <w:r w:rsidR="00420837">
        <w:rPr>
          <w:rFonts w:eastAsia="Arial Unicode MS"/>
          <w:b/>
          <w:sz w:val="30"/>
          <w:szCs w:val="30"/>
        </w:rPr>
        <w:tab/>
      </w:r>
    </w:p>
    <w:p w:rsidR="00BA5318" w:rsidRDefault="00BA5318" w:rsidP="00BA5318">
      <w:pPr>
        <w:rPr>
          <w:rFonts w:eastAsia="Arial Unicode MS"/>
          <w:b/>
          <w:sz w:val="30"/>
          <w:szCs w:val="30"/>
        </w:rPr>
      </w:pPr>
      <w:r w:rsidRPr="00775896">
        <w:rPr>
          <w:rFonts w:eastAsia="Arial Unicode MS"/>
          <w:b/>
          <w:sz w:val="30"/>
          <w:szCs w:val="30"/>
        </w:rPr>
        <w:t xml:space="preserve">For </w:t>
      </w:r>
      <w:r>
        <w:rPr>
          <w:rFonts w:eastAsia="Arial Unicode MS"/>
          <w:b/>
          <w:sz w:val="30"/>
          <w:szCs w:val="30"/>
        </w:rPr>
        <w:t>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Pr>
          <w:rFonts w:eastAsia="Arial Unicode MS"/>
          <w:b/>
          <w:sz w:val="30"/>
          <w:szCs w:val="30"/>
        </w:rPr>
        <w:t xml:space="preserve">Mr N. D. Jele </w:t>
      </w:r>
    </w:p>
    <w:p w:rsidR="00BA5318" w:rsidRDefault="00BA5318" w:rsidP="00BA5318"/>
    <w:p w:rsidR="00BA5318" w:rsidRDefault="00BA5318" w:rsidP="00BA5318"/>
    <w:p w:rsidR="00BA5318" w:rsidRDefault="00BA5318" w:rsidP="00BA5318"/>
    <w:p w:rsidR="00BA5318" w:rsidRDefault="00BA5318" w:rsidP="00BA5318"/>
    <w:p w:rsidR="00BA5318" w:rsidRDefault="00BA5318" w:rsidP="00BA5318"/>
    <w:p w:rsidR="00BA5318" w:rsidRDefault="00BA5318" w:rsidP="00BA5318">
      <w:pPr>
        <w:spacing w:line="480" w:lineRule="auto"/>
        <w:ind w:left="720" w:hanging="720"/>
        <w:jc w:val="both"/>
        <w:rPr>
          <w:rFonts w:eastAsia="Arial Unicode MS"/>
          <w:sz w:val="30"/>
          <w:szCs w:val="30"/>
        </w:rPr>
      </w:pPr>
    </w:p>
    <w:p w:rsidR="00BA5318" w:rsidRDefault="00BA5318" w:rsidP="00BA5318">
      <w:pPr>
        <w:spacing w:line="480" w:lineRule="auto"/>
        <w:ind w:left="720" w:hanging="720"/>
        <w:jc w:val="both"/>
        <w:rPr>
          <w:rFonts w:eastAsia="Arial Unicode MS"/>
          <w:sz w:val="30"/>
          <w:szCs w:val="30"/>
        </w:rPr>
      </w:pPr>
    </w:p>
    <w:p w:rsidR="00BA5318" w:rsidRDefault="00BA5318" w:rsidP="00BA5318">
      <w:pPr>
        <w:spacing w:line="480" w:lineRule="auto"/>
        <w:ind w:left="720" w:hanging="720"/>
        <w:jc w:val="both"/>
        <w:rPr>
          <w:rFonts w:eastAsia="Arial Unicode MS"/>
          <w:sz w:val="30"/>
          <w:szCs w:val="30"/>
        </w:rPr>
      </w:pPr>
    </w:p>
    <w:p w:rsidR="00BA5318" w:rsidRDefault="00BA5318" w:rsidP="00BA5318">
      <w:pPr>
        <w:spacing w:line="480" w:lineRule="auto"/>
        <w:ind w:left="720" w:hanging="720"/>
        <w:jc w:val="both"/>
        <w:rPr>
          <w:rFonts w:eastAsia="Arial Unicode MS"/>
          <w:sz w:val="30"/>
          <w:szCs w:val="30"/>
        </w:rPr>
      </w:pPr>
    </w:p>
    <w:p w:rsidR="00BA5318" w:rsidRDefault="00BA5318" w:rsidP="00BA5318">
      <w:pPr>
        <w:spacing w:line="480" w:lineRule="auto"/>
        <w:ind w:left="720" w:hanging="720"/>
        <w:jc w:val="both"/>
        <w:rPr>
          <w:rFonts w:eastAsia="Arial Unicode MS"/>
          <w:sz w:val="30"/>
          <w:szCs w:val="30"/>
        </w:rPr>
      </w:pPr>
    </w:p>
    <w:p w:rsidR="00BA5318" w:rsidRDefault="00BA5318" w:rsidP="00BA5318">
      <w:pPr>
        <w:spacing w:line="480" w:lineRule="auto"/>
        <w:ind w:left="720" w:hanging="720"/>
        <w:jc w:val="both"/>
        <w:rPr>
          <w:rFonts w:eastAsia="Arial Unicode MS"/>
          <w:sz w:val="30"/>
          <w:szCs w:val="30"/>
        </w:rPr>
      </w:pPr>
    </w:p>
    <w:p w:rsidR="00BA5318" w:rsidRDefault="00BA5318" w:rsidP="00BA5318"/>
    <w:p w:rsidR="0094525A" w:rsidRDefault="0094525A"/>
    <w:sectPr w:rsidR="0094525A" w:rsidSect="00164E3A">
      <w:footerReference w:type="even" r:id="rId9"/>
      <w:footerReference w:type="default" r:id="rId10"/>
      <w:pgSz w:w="12240" w:h="15840"/>
      <w:pgMar w:top="108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4F" w:rsidRDefault="00FB0B4F" w:rsidP="007C58B0">
      <w:r>
        <w:separator/>
      </w:r>
    </w:p>
  </w:endnote>
  <w:endnote w:type="continuationSeparator" w:id="0">
    <w:p w:rsidR="00FB0B4F" w:rsidRDefault="00FB0B4F" w:rsidP="007C5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2C6E82" w:rsidP="00171910">
    <w:pPr>
      <w:pStyle w:val="Footer"/>
      <w:framePr w:wrap="around" w:vAnchor="text" w:hAnchor="margin" w:xAlign="center" w:y="1"/>
      <w:rPr>
        <w:rStyle w:val="PageNumber"/>
      </w:rPr>
    </w:pPr>
    <w:r>
      <w:rPr>
        <w:rStyle w:val="PageNumber"/>
      </w:rPr>
      <w:fldChar w:fldCharType="begin"/>
    </w:r>
    <w:r w:rsidR="00296CD4">
      <w:rPr>
        <w:rStyle w:val="PageNumber"/>
      </w:rPr>
      <w:instrText xml:space="preserve">PAGE  </w:instrText>
    </w:r>
    <w:r>
      <w:rPr>
        <w:rStyle w:val="PageNumber"/>
      </w:rPr>
      <w:fldChar w:fldCharType="end"/>
    </w:r>
  </w:p>
  <w:p w:rsidR="001C502F" w:rsidRDefault="00FB0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2C6E82" w:rsidP="00171910">
    <w:pPr>
      <w:pStyle w:val="Footer"/>
      <w:framePr w:wrap="around" w:vAnchor="text" w:hAnchor="margin" w:xAlign="center" w:y="1"/>
      <w:rPr>
        <w:rStyle w:val="PageNumber"/>
      </w:rPr>
    </w:pPr>
    <w:r>
      <w:rPr>
        <w:rStyle w:val="PageNumber"/>
      </w:rPr>
      <w:fldChar w:fldCharType="begin"/>
    </w:r>
    <w:r w:rsidR="00296CD4">
      <w:rPr>
        <w:rStyle w:val="PageNumber"/>
      </w:rPr>
      <w:instrText xml:space="preserve">PAGE  </w:instrText>
    </w:r>
    <w:r>
      <w:rPr>
        <w:rStyle w:val="PageNumber"/>
      </w:rPr>
      <w:fldChar w:fldCharType="separate"/>
    </w:r>
    <w:r w:rsidR="00980548">
      <w:rPr>
        <w:rStyle w:val="PageNumber"/>
        <w:noProof/>
      </w:rPr>
      <w:t>7</w:t>
    </w:r>
    <w:r>
      <w:rPr>
        <w:rStyle w:val="PageNumber"/>
      </w:rPr>
      <w:fldChar w:fldCharType="end"/>
    </w:r>
  </w:p>
  <w:p w:rsidR="001C502F" w:rsidRDefault="00FB0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4F" w:rsidRDefault="00FB0B4F" w:rsidP="007C58B0">
      <w:r>
        <w:separator/>
      </w:r>
    </w:p>
  </w:footnote>
  <w:footnote w:type="continuationSeparator" w:id="0">
    <w:p w:rsidR="00FB0B4F" w:rsidRDefault="00FB0B4F" w:rsidP="007C5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561BB"/>
    <w:multiLevelType w:val="hybridMultilevel"/>
    <w:tmpl w:val="811230AE"/>
    <w:lvl w:ilvl="0" w:tplc="2F7C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012BF5"/>
    <w:multiLevelType w:val="hybridMultilevel"/>
    <w:tmpl w:val="675A8036"/>
    <w:lvl w:ilvl="0" w:tplc="05B44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F6CB9"/>
    <w:multiLevelType w:val="hybridMultilevel"/>
    <w:tmpl w:val="BB84514E"/>
    <w:lvl w:ilvl="0" w:tplc="F696A3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29326F6"/>
    <w:multiLevelType w:val="hybridMultilevel"/>
    <w:tmpl w:val="471C7F44"/>
    <w:lvl w:ilvl="0" w:tplc="A2D0A4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5F160A37"/>
    <w:multiLevelType w:val="hybridMultilevel"/>
    <w:tmpl w:val="16B0B95C"/>
    <w:lvl w:ilvl="0" w:tplc="65D063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nsid w:val="61763314"/>
    <w:multiLevelType w:val="hybridMultilevel"/>
    <w:tmpl w:val="D77A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878CA"/>
    <w:multiLevelType w:val="hybridMultilevel"/>
    <w:tmpl w:val="AE08DC24"/>
    <w:lvl w:ilvl="0" w:tplc="9CC82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5318"/>
    <w:rsid w:val="000820C2"/>
    <w:rsid w:val="0009538A"/>
    <w:rsid w:val="00127186"/>
    <w:rsid w:val="00171239"/>
    <w:rsid w:val="00172A88"/>
    <w:rsid w:val="00185E3C"/>
    <w:rsid w:val="00296CD4"/>
    <w:rsid w:val="002C6E82"/>
    <w:rsid w:val="0030407A"/>
    <w:rsid w:val="00321D91"/>
    <w:rsid w:val="003761A5"/>
    <w:rsid w:val="00415741"/>
    <w:rsid w:val="00420837"/>
    <w:rsid w:val="0042392B"/>
    <w:rsid w:val="004B301F"/>
    <w:rsid w:val="004E15A3"/>
    <w:rsid w:val="00562BF6"/>
    <w:rsid w:val="00584234"/>
    <w:rsid w:val="00597B78"/>
    <w:rsid w:val="005A0FEF"/>
    <w:rsid w:val="005B0DDF"/>
    <w:rsid w:val="006C5E5B"/>
    <w:rsid w:val="00783E3C"/>
    <w:rsid w:val="007C58B0"/>
    <w:rsid w:val="008218A0"/>
    <w:rsid w:val="008F68C5"/>
    <w:rsid w:val="00902876"/>
    <w:rsid w:val="0094525A"/>
    <w:rsid w:val="00947589"/>
    <w:rsid w:val="00967F00"/>
    <w:rsid w:val="00980548"/>
    <w:rsid w:val="00AB7550"/>
    <w:rsid w:val="00B42F5B"/>
    <w:rsid w:val="00B74034"/>
    <w:rsid w:val="00BA5318"/>
    <w:rsid w:val="00BB69C7"/>
    <w:rsid w:val="00BD50F0"/>
    <w:rsid w:val="00BF7281"/>
    <w:rsid w:val="00C06CC4"/>
    <w:rsid w:val="00C26880"/>
    <w:rsid w:val="00CC2E1B"/>
    <w:rsid w:val="00D11765"/>
    <w:rsid w:val="00D45025"/>
    <w:rsid w:val="00D76C3F"/>
    <w:rsid w:val="00E82937"/>
    <w:rsid w:val="00E83CE7"/>
    <w:rsid w:val="00F009F9"/>
    <w:rsid w:val="00FB0B4F"/>
    <w:rsid w:val="00FB5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A5318"/>
    <w:pPr>
      <w:tabs>
        <w:tab w:val="center" w:pos="4320"/>
        <w:tab w:val="right" w:pos="8640"/>
      </w:tabs>
    </w:pPr>
  </w:style>
  <w:style w:type="character" w:customStyle="1" w:styleId="FooterChar">
    <w:name w:val="Footer Char"/>
    <w:basedOn w:val="DefaultParagraphFont"/>
    <w:link w:val="Footer"/>
    <w:rsid w:val="00BA5318"/>
    <w:rPr>
      <w:rFonts w:ascii="Times New Roman" w:eastAsia="Times New Roman" w:hAnsi="Times New Roman" w:cs="Times New Roman"/>
      <w:sz w:val="24"/>
      <w:szCs w:val="24"/>
    </w:rPr>
  </w:style>
  <w:style w:type="character" w:styleId="PageNumber">
    <w:name w:val="page number"/>
    <w:basedOn w:val="DefaultParagraphFont"/>
    <w:rsid w:val="00BA5318"/>
  </w:style>
  <w:style w:type="paragraph" w:styleId="ListParagraph">
    <w:name w:val="List Paragraph"/>
    <w:basedOn w:val="Normal"/>
    <w:uiPriority w:val="34"/>
    <w:qFormat/>
    <w:rsid w:val="00BA5318"/>
    <w:pPr>
      <w:ind w:left="720"/>
      <w:contextualSpacing/>
    </w:pPr>
  </w:style>
  <w:style w:type="paragraph" w:styleId="BalloonText">
    <w:name w:val="Balloon Text"/>
    <w:basedOn w:val="Normal"/>
    <w:link w:val="BalloonTextChar"/>
    <w:uiPriority w:val="99"/>
    <w:semiHidden/>
    <w:unhideWhenUsed/>
    <w:rsid w:val="00BA5318"/>
    <w:rPr>
      <w:rFonts w:ascii="Tahoma" w:hAnsi="Tahoma" w:cs="Tahoma"/>
      <w:sz w:val="16"/>
      <w:szCs w:val="16"/>
    </w:rPr>
  </w:style>
  <w:style w:type="character" w:customStyle="1" w:styleId="BalloonTextChar">
    <w:name w:val="Balloon Text Char"/>
    <w:basedOn w:val="DefaultParagraphFont"/>
    <w:link w:val="BalloonText"/>
    <w:uiPriority w:val="99"/>
    <w:semiHidden/>
    <w:rsid w:val="00BA53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37FA9-24BC-4956-9FB1-33592BC3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42</cp:revision>
  <cp:lastPrinted>2014-05-19T14:01:00Z</cp:lastPrinted>
  <dcterms:created xsi:type="dcterms:W3CDTF">2014-05-17T12:26:00Z</dcterms:created>
  <dcterms:modified xsi:type="dcterms:W3CDTF">2014-05-19T15:28:00Z</dcterms:modified>
</cp:coreProperties>
</file>