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A4" w:rsidRDefault="002B26A4" w:rsidP="002B26A4">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2B26A4" w:rsidRPr="00A14D8D" w:rsidRDefault="002B26A4" w:rsidP="002B26A4">
      <w:pPr>
        <w:jc w:val="center"/>
        <w:rPr>
          <w:rFonts w:ascii="Bookman Old Style" w:eastAsia="Arial Unicode MS" w:hAnsi="Bookman Old Style" w:cs="Arial Unicode MS"/>
        </w:rPr>
      </w:pPr>
    </w:p>
    <w:p w:rsidR="002B26A4" w:rsidRPr="00775896" w:rsidRDefault="002B26A4" w:rsidP="002B26A4">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2B26A4" w:rsidRDefault="002B26A4" w:rsidP="002B26A4">
      <w:pPr>
        <w:jc w:val="both"/>
        <w:rPr>
          <w:rFonts w:eastAsia="Arial Unicode MS"/>
          <w:sz w:val="30"/>
          <w:szCs w:val="30"/>
        </w:rPr>
      </w:pPr>
    </w:p>
    <w:p w:rsidR="002B26A4" w:rsidRPr="00D07461" w:rsidRDefault="002B26A4" w:rsidP="002B26A4">
      <w:pPr>
        <w:jc w:val="both"/>
        <w:rPr>
          <w:rFonts w:eastAsia="Arial Unicode MS"/>
          <w:b/>
          <w:sz w:val="30"/>
          <w:szCs w:val="30"/>
        </w:rPr>
      </w:pPr>
      <w:r w:rsidRPr="00D07461">
        <w:rPr>
          <w:rFonts w:eastAsia="Arial Unicode MS"/>
          <w:b/>
          <w:sz w:val="30"/>
          <w:szCs w:val="30"/>
        </w:rPr>
        <w:t>HELD AT MBABANE</w:t>
      </w:r>
    </w:p>
    <w:p w:rsidR="002B26A4" w:rsidRPr="00775896" w:rsidRDefault="002B26A4" w:rsidP="002B26A4">
      <w:pPr>
        <w:jc w:val="both"/>
        <w:rPr>
          <w:rFonts w:eastAsia="Arial Unicode MS"/>
          <w:sz w:val="30"/>
          <w:szCs w:val="30"/>
        </w:rPr>
      </w:pPr>
    </w:p>
    <w:p w:rsidR="002B26A4" w:rsidRPr="00775896" w:rsidRDefault="002B26A4" w:rsidP="002B26A4">
      <w:pPr>
        <w:jc w:val="center"/>
        <w:rPr>
          <w:rFonts w:eastAsia="Arial Unicode MS"/>
          <w:b/>
          <w:sz w:val="30"/>
          <w:szCs w:val="30"/>
        </w:rPr>
      </w:pPr>
      <w:r w:rsidRPr="00775896">
        <w:rPr>
          <w:rFonts w:eastAsia="Arial Unicode MS"/>
          <w:b/>
          <w:sz w:val="30"/>
          <w:szCs w:val="30"/>
        </w:rPr>
        <w:t>JUDGMENT</w:t>
      </w:r>
    </w:p>
    <w:p w:rsidR="002B26A4" w:rsidRPr="00775896" w:rsidRDefault="002B26A4" w:rsidP="002B26A4">
      <w:pPr>
        <w:rPr>
          <w:rFonts w:eastAsia="Arial Unicode MS"/>
          <w:b/>
          <w:sz w:val="30"/>
          <w:szCs w:val="30"/>
        </w:rPr>
      </w:pPr>
    </w:p>
    <w:p w:rsidR="002B26A4" w:rsidRPr="00775896" w:rsidRDefault="002B26A4" w:rsidP="002B26A4">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No. </w:t>
      </w:r>
      <w:r>
        <w:rPr>
          <w:rFonts w:eastAsia="Arial Unicode MS"/>
          <w:b/>
          <w:sz w:val="30"/>
          <w:szCs w:val="30"/>
          <w:u w:val="single"/>
        </w:rPr>
        <w:t>78</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2B26A4" w:rsidRPr="00775896" w:rsidRDefault="002B26A4" w:rsidP="002B26A4">
      <w:pPr>
        <w:jc w:val="both"/>
        <w:rPr>
          <w:rFonts w:eastAsia="Arial Unicode MS"/>
          <w:b/>
          <w:sz w:val="30"/>
          <w:szCs w:val="30"/>
        </w:rPr>
      </w:pPr>
    </w:p>
    <w:p w:rsidR="002B26A4" w:rsidRDefault="002B26A4" w:rsidP="002B26A4">
      <w:pPr>
        <w:jc w:val="both"/>
        <w:rPr>
          <w:rFonts w:eastAsia="Arial Unicode MS"/>
          <w:b/>
          <w:sz w:val="30"/>
          <w:szCs w:val="30"/>
        </w:rPr>
      </w:pPr>
    </w:p>
    <w:p w:rsidR="002B26A4" w:rsidRPr="00775896" w:rsidRDefault="002B26A4" w:rsidP="002B26A4">
      <w:pPr>
        <w:jc w:val="both"/>
        <w:rPr>
          <w:rFonts w:eastAsia="Arial Unicode MS"/>
          <w:b/>
          <w:sz w:val="30"/>
          <w:szCs w:val="30"/>
        </w:rPr>
      </w:pPr>
      <w:r w:rsidRPr="00775896">
        <w:rPr>
          <w:rFonts w:eastAsia="Arial Unicode MS"/>
          <w:b/>
          <w:sz w:val="30"/>
          <w:szCs w:val="30"/>
        </w:rPr>
        <w:t>In the matter between</w:t>
      </w:r>
    </w:p>
    <w:p w:rsidR="002B26A4" w:rsidRPr="00775896" w:rsidRDefault="002B26A4" w:rsidP="002B26A4">
      <w:pPr>
        <w:jc w:val="both"/>
        <w:rPr>
          <w:rFonts w:eastAsia="Arial Unicode MS"/>
          <w:b/>
          <w:sz w:val="30"/>
          <w:szCs w:val="30"/>
        </w:rPr>
      </w:pPr>
    </w:p>
    <w:p w:rsidR="002B26A4" w:rsidRPr="00775896" w:rsidRDefault="002B26A4" w:rsidP="002B26A4">
      <w:pPr>
        <w:jc w:val="both"/>
        <w:rPr>
          <w:rFonts w:eastAsia="Arial Unicode MS"/>
          <w:b/>
          <w:sz w:val="30"/>
          <w:szCs w:val="30"/>
        </w:rPr>
      </w:pPr>
    </w:p>
    <w:p w:rsidR="002B26A4" w:rsidRPr="00775896" w:rsidRDefault="002B26A4" w:rsidP="002B26A4">
      <w:pPr>
        <w:jc w:val="both"/>
        <w:rPr>
          <w:rFonts w:eastAsia="Arial Unicode MS"/>
          <w:b/>
          <w:sz w:val="30"/>
          <w:szCs w:val="30"/>
        </w:rPr>
      </w:pPr>
      <w:r>
        <w:rPr>
          <w:rFonts w:eastAsia="Arial Unicode MS"/>
          <w:b/>
          <w:sz w:val="30"/>
          <w:szCs w:val="30"/>
        </w:rPr>
        <w:t>SIMON VILANE N.O.</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First </w:t>
      </w:r>
      <w:r w:rsidRPr="00775896">
        <w:rPr>
          <w:rFonts w:eastAsia="Arial Unicode MS"/>
          <w:b/>
          <w:sz w:val="30"/>
          <w:szCs w:val="30"/>
        </w:rPr>
        <w:t>Appellant</w:t>
      </w:r>
    </w:p>
    <w:p w:rsidR="002B26A4" w:rsidRPr="00775896" w:rsidRDefault="002B26A4" w:rsidP="002B26A4">
      <w:pPr>
        <w:jc w:val="both"/>
        <w:rPr>
          <w:rFonts w:eastAsia="Arial Unicode MS"/>
          <w:b/>
          <w:sz w:val="30"/>
          <w:szCs w:val="30"/>
        </w:rPr>
      </w:pPr>
    </w:p>
    <w:p w:rsidR="002B26A4" w:rsidRDefault="002B26A4" w:rsidP="002B26A4">
      <w:pPr>
        <w:jc w:val="both"/>
        <w:rPr>
          <w:rFonts w:eastAsia="Arial Unicode MS"/>
          <w:b/>
          <w:sz w:val="30"/>
          <w:szCs w:val="30"/>
        </w:rPr>
      </w:pPr>
      <w:r>
        <w:rPr>
          <w:rFonts w:eastAsia="Arial Unicode MS"/>
          <w:b/>
          <w:sz w:val="30"/>
          <w:szCs w:val="30"/>
        </w:rPr>
        <w:t>MANDLENKHOSI VILANE N.O.</w:t>
      </w:r>
      <w:r>
        <w:rPr>
          <w:rFonts w:eastAsia="Arial Unicode MS"/>
          <w:b/>
          <w:sz w:val="30"/>
          <w:szCs w:val="30"/>
        </w:rPr>
        <w:tab/>
      </w:r>
      <w:r>
        <w:rPr>
          <w:rFonts w:eastAsia="Arial Unicode MS"/>
          <w:b/>
          <w:sz w:val="30"/>
          <w:szCs w:val="30"/>
        </w:rPr>
        <w:tab/>
        <w:t>Second Appellant</w:t>
      </w:r>
    </w:p>
    <w:p w:rsidR="002B26A4" w:rsidRDefault="002B26A4" w:rsidP="002B26A4">
      <w:pPr>
        <w:jc w:val="both"/>
        <w:rPr>
          <w:rFonts w:eastAsia="Arial Unicode MS"/>
          <w:b/>
          <w:sz w:val="30"/>
          <w:szCs w:val="30"/>
        </w:rPr>
      </w:pPr>
    </w:p>
    <w:p w:rsidR="002B26A4" w:rsidRPr="00775896" w:rsidRDefault="002B26A4" w:rsidP="002B26A4">
      <w:pPr>
        <w:jc w:val="both"/>
        <w:rPr>
          <w:rFonts w:eastAsia="Arial Unicode MS"/>
          <w:b/>
          <w:sz w:val="30"/>
          <w:szCs w:val="30"/>
        </w:rPr>
      </w:pPr>
      <w:proofErr w:type="gramStart"/>
      <w:r>
        <w:rPr>
          <w:rFonts w:eastAsia="Arial Unicode MS"/>
          <w:b/>
          <w:sz w:val="30"/>
          <w:szCs w:val="30"/>
        </w:rPr>
        <w:t>UMFOMOTI INVESTMENTS N.O.</w:t>
      </w:r>
      <w:proofErr w:type="gramEnd"/>
      <w:r>
        <w:rPr>
          <w:rFonts w:eastAsia="Arial Unicode MS"/>
          <w:b/>
          <w:sz w:val="30"/>
          <w:szCs w:val="30"/>
        </w:rPr>
        <w:tab/>
      </w:r>
      <w:r>
        <w:rPr>
          <w:rFonts w:eastAsia="Arial Unicode MS"/>
          <w:b/>
          <w:sz w:val="30"/>
          <w:szCs w:val="30"/>
        </w:rPr>
        <w:tab/>
        <w:t>Third Appellant</w:t>
      </w:r>
    </w:p>
    <w:p w:rsidR="002B26A4" w:rsidRDefault="002B26A4" w:rsidP="002B26A4">
      <w:pPr>
        <w:jc w:val="both"/>
        <w:rPr>
          <w:rFonts w:eastAsia="Arial Unicode MS"/>
          <w:b/>
          <w:sz w:val="30"/>
          <w:szCs w:val="30"/>
        </w:rPr>
      </w:pPr>
    </w:p>
    <w:p w:rsidR="002B26A4" w:rsidRDefault="002B26A4" w:rsidP="002B26A4">
      <w:pPr>
        <w:jc w:val="both"/>
        <w:rPr>
          <w:rFonts w:eastAsia="Arial Unicode MS"/>
          <w:b/>
          <w:sz w:val="30"/>
          <w:szCs w:val="30"/>
        </w:rPr>
      </w:pPr>
    </w:p>
    <w:p w:rsidR="002B26A4" w:rsidRPr="00775896" w:rsidRDefault="002B26A4" w:rsidP="002B26A4">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2B26A4" w:rsidRDefault="002B26A4" w:rsidP="002B26A4">
      <w:pPr>
        <w:jc w:val="both"/>
        <w:rPr>
          <w:rFonts w:eastAsia="Arial Unicode MS"/>
          <w:b/>
          <w:sz w:val="30"/>
          <w:szCs w:val="30"/>
        </w:rPr>
      </w:pPr>
    </w:p>
    <w:p w:rsidR="002B26A4" w:rsidRPr="00775896" w:rsidRDefault="002B26A4" w:rsidP="002B26A4">
      <w:pPr>
        <w:jc w:val="both"/>
        <w:rPr>
          <w:rFonts w:eastAsia="Arial Unicode MS"/>
          <w:b/>
          <w:sz w:val="30"/>
          <w:szCs w:val="30"/>
        </w:rPr>
      </w:pPr>
      <w:r>
        <w:rPr>
          <w:rFonts w:eastAsia="Arial Unicode MS"/>
          <w:b/>
          <w:sz w:val="30"/>
          <w:szCs w:val="30"/>
        </w:rPr>
        <w:t>LIPNEY INVESTMENTS (PTY) LTD</w:t>
      </w:r>
      <w:r>
        <w:rPr>
          <w:rFonts w:eastAsia="Arial Unicode MS"/>
          <w:b/>
          <w:sz w:val="30"/>
          <w:szCs w:val="30"/>
        </w:rPr>
        <w:tab/>
      </w:r>
      <w:r>
        <w:rPr>
          <w:rFonts w:eastAsia="Arial Unicode MS"/>
          <w:b/>
          <w:sz w:val="30"/>
          <w:szCs w:val="30"/>
        </w:rPr>
        <w:tab/>
      </w:r>
      <w:r w:rsidRPr="00775896">
        <w:rPr>
          <w:rFonts w:eastAsia="Arial Unicode MS"/>
          <w:b/>
          <w:sz w:val="30"/>
          <w:szCs w:val="30"/>
        </w:rPr>
        <w:t>Respondent</w:t>
      </w:r>
    </w:p>
    <w:p w:rsidR="002B26A4" w:rsidRDefault="002B26A4" w:rsidP="002B26A4">
      <w:pPr>
        <w:jc w:val="both"/>
        <w:rPr>
          <w:rFonts w:eastAsia="Arial Unicode MS"/>
          <w:b/>
          <w:sz w:val="30"/>
          <w:szCs w:val="30"/>
        </w:rPr>
      </w:pPr>
    </w:p>
    <w:p w:rsidR="002B26A4" w:rsidRPr="00775896" w:rsidRDefault="002B26A4" w:rsidP="002B26A4">
      <w:pPr>
        <w:jc w:val="both"/>
        <w:rPr>
          <w:rFonts w:eastAsia="Arial Unicode MS"/>
          <w:b/>
          <w:sz w:val="30"/>
          <w:szCs w:val="30"/>
        </w:rPr>
      </w:pPr>
    </w:p>
    <w:p w:rsidR="002B26A4" w:rsidRPr="003A2A2A" w:rsidRDefault="002B26A4" w:rsidP="002B26A4">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sidRPr="004E415B">
        <w:rPr>
          <w:rFonts w:eastAsia="Arial Unicode MS"/>
          <w:i/>
          <w:sz w:val="30"/>
          <w:szCs w:val="30"/>
        </w:rPr>
        <w:t>Simon</w:t>
      </w:r>
      <w:r>
        <w:rPr>
          <w:rFonts w:eastAsia="Arial Unicode MS"/>
          <w:i/>
          <w:sz w:val="30"/>
          <w:szCs w:val="30"/>
        </w:rPr>
        <w:t xml:space="preserve"> </w:t>
      </w:r>
      <w:proofErr w:type="spellStart"/>
      <w:r>
        <w:rPr>
          <w:rFonts w:eastAsia="Arial Unicode MS"/>
          <w:i/>
          <w:sz w:val="30"/>
          <w:szCs w:val="30"/>
        </w:rPr>
        <w:t>Vilane</w:t>
      </w:r>
      <w:proofErr w:type="spellEnd"/>
      <w:r>
        <w:rPr>
          <w:rFonts w:eastAsia="Arial Unicode MS"/>
          <w:i/>
          <w:sz w:val="30"/>
          <w:szCs w:val="30"/>
        </w:rPr>
        <w:t xml:space="preserve"> N.O., </w:t>
      </w:r>
      <w:proofErr w:type="spellStart"/>
      <w:r>
        <w:rPr>
          <w:rFonts w:eastAsia="Arial Unicode MS"/>
          <w:i/>
          <w:sz w:val="30"/>
          <w:szCs w:val="30"/>
        </w:rPr>
        <w:t>Mandlenkhosi</w:t>
      </w:r>
      <w:proofErr w:type="spellEnd"/>
      <w:r>
        <w:rPr>
          <w:rFonts w:eastAsia="Arial Unicode MS"/>
          <w:i/>
          <w:sz w:val="30"/>
          <w:szCs w:val="30"/>
        </w:rPr>
        <w:t xml:space="preserve"> </w:t>
      </w:r>
      <w:proofErr w:type="spellStart"/>
      <w:r>
        <w:rPr>
          <w:rFonts w:eastAsia="Arial Unicode MS"/>
          <w:i/>
          <w:sz w:val="30"/>
          <w:szCs w:val="30"/>
        </w:rPr>
        <w:t>Vilane</w:t>
      </w:r>
      <w:proofErr w:type="spellEnd"/>
      <w:r>
        <w:rPr>
          <w:rFonts w:eastAsia="Arial Unicode MS"/>
          <w:i/>
          <w:sz w:val="30"/>
          <w:szCs w:val="30"/>
        </w:rPr>
        <w:t xml:space="preserve"> N.O., </w:t>
      </w:r>
      <w:proofErr w:type="spellStart"/>
      <w:r>
        <w:rPr>
          <w:rFonts w:eastAsia="Arial Unicode MS"/>
          <w:i/>
          <w:sz w:val="30"/>
          <w:szCs w:val="30"/>
        </w:rPr>
        <w:t>Umfomoti</w:t>
      </w:r>
      <w:proofErr w:type="spellEnd"/>
      <w:r>
        <w:rPr>
          <w:rFonts w:eastAsia="Arial Unicode MS"/>
          <w:i/>
          <w:sz w:val="30"/>
          <w:szCs w:val="30"/>
        </w:rPr>
        <w:t xml:space="preserve"> Investments N.O. </w:t>
      </w:r>
      <w:r w:rsidRPr="003A2A2A">
        <w:rPr>
          <w:rFonts w:eastAsia="Arial Unicode MS"/>
          <w:i/>
          <w:sz w:val="30"/>
          <w:szCs w:val="30"/>
        </w:rPr>
        <w:t xml:space="preserve">v </w:t>
      </w:r>
      <w:proofErr w:type="spellStart"/>
      <w:r>
        <w:rPr>
          <w:rFonts w:eastAsia="Arial Unicode MS"/>
          <w:i/>
          <w:sz w:val="30"/>
          <w:szCs w:val="30"/>
        </w:rPr>
        <w:t>Lipney</w:t>
      </w:r>
      <w:proofErr w:type="spellEnd"/>
      <w:r>
        <w:rPr>
          <w:rFonts w:eastAsia="Arial Unicode MS"/>
          <w:i/>
          <w:sz w:val="30"/>
          <w:szCs w:val="30"/>
        </w:rPr>
        <w:t xml:space="preserve"> Investments (Pty) LTD </w:t>
      </w:r>
      <w:r w:rsidRPr="003A2A2A">
        <w:rPr>
          <w:rFonts w:eastAsia="Arial Unicode MS"/>
          <w:i/>
          <w:sz w:val="30"/>
          <w:szCs w:val="30"/>
        </w:rPr>
        <w:t xml:space="preserve">(23/2013) </w:t>
      </w:r>
      <w:r w:rsidRPr="003A2A2A">
        <w:rPr>
          <w:rFonts w:eastAsia="Arial Unicode MS"/>
          <w:sz w:val="30"/>
          <w:szCs w:val="30"/>
        </w:rPr>
        <w:t>[2014]</w:t>
      </w:r>
      <w:r w:rsidRPr="003A2A2A">
        <w:rPr>
          <w:rFonts w:eastAsia="Arial Unicode MS"/>
          <w:i/>
          <w:sz w:val="30"/>
          <w:szCs w:val="30"/>
        </w:rPr>
        <w:t xml:space="preserve"> SZSC 2</w:t>
      </w:r>
      <w:r>
        <w:rPr>
          <w:rFonts w:eastAsia="Arial Unicode MS"/>
          <w:i/>
          <w:sz w:val="30"/>
          <w:szCs w:val="30"/>
        </w:rPr>
        <w:t>8</w:t>
      </w:r>
      <w:r w:rsidRPr="003A2A2A">
        <w:rPr>
          <w:rFonts w:eastAsia="Arial Unicode MS"/>
          <w:i/>
          <w:sz w:val="30"/>
          <w:szCs w:val="30"/>
        </w:rPr>
        <w:t xml:space="preserve"> </w:t>
      </w:r>
      <w:r w:rsidRPr="003A2A2A">
        <w:rPr>
          <w:rFonts w:eastAsia="Arial Unicode MS"/>
          <w:sz w:val="30"/>
          <w:szCs w:val="30"/>
        </w:rPr>
        <w:t>(30 May 2014)</w:t>
      </w:r>
    </w:p>
    <w:p w:rsidR="002B26A4" w:rsidRPr="003A2A2A" w:rsidRDefault="002B26A4" w:rsidP="002B26A4">
      <w:pPr>
        <w:ind w:left="2880" w:hanging="2880"/>
        <w:jc w:val="both"/>
        <w:rPr>
          <w:rFonts w:eastAsia="Arial Unicode MS"/>
          <w:sz w:val="30"/>
          <w:szCs w:val="30"/>
        </w:rPr>
      </w:pPr>
    </w:p>
    <w:p w:rsidR="002B26A4" w:rsidRPr="00775896" w:rsidRDefault="002B26A4" w:rsidP="002B26A4">
      <w:pPr>
        <w:ind w:left="2880" w:hanging="2880"/>
        <w:rPr>
          <w:rFonts w:eastAsia="Arial Unicode MS"/>
          <w:b/>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EBRAHIM </w:t>
      </w:r>
      <w:r w:rsidRPr="00775896">
        <w:rPr>
          <w:rFonts w:eastAsia="Arial Unicode MS"/>
          <w:sz w:val="30"/>
          <w:szCs w:val="30"/>
        </w:rPr>
        <w:t>JA</w:t>
      </w:r>
      <w:r>
        <w:rPr>
          <w:rFonts w:eastAsia="Arial Unicode MS"/>
          <w:sz w:val="30"/>
          <w:szCs w:val="30"/>
        </w:rPr>
        <w:t xml:space="preserve"> and MCB MAPHALALA </w:t>
      </w:r>
      <w:r w:rsidRPr="00775896">
        <w:rPr>
          <w:rFonts w:eastAsia="Arial Unicode MS"/>
          <w:sz w:val="30"/>
          <w:szCs w:val="30"/>
        </w:rPr>
        <w:t xml:space="preserve">JA, </w:t>
      </w:r>
    </w:p>
    <w:p w:rsidR="00E111B9" w:rsidRPr="00775896" w:rsidRDefault="00E111B9" w:rsidP="00E111B9">
      <w:pPr>
        <w:jc w:val="both"/>
        <w:rPr>
          <w:rFonts w:eastAsia="Arial Unicode MS"/>
          <w:b/>
          <w:sz w:val="30"/>
          <w:szCs w:val="30"/>
        </w:rPr>
      </w:pPr>
    </w:p>
    <w:p w:rsidR="00E111B9" w:rsidRPr="00775896" w:rsidRDefault="00E111B9" w:rsidP="00E111B9">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2</w:t>
      </w:r>
      <w:r w:rsidR="009D6B19">
        <w:rPr>
          <w:rFonts w:eastAsia="Arial Unicode MS"/>
          <w:b/>
          <w:sz w:val="30"/>
          <w:szCs w:val="30"/>
        </w:rPr>
        <w:t>1</w:t>
      </w:r>
      <w:r w:rsidRPr="001F6E9E">
        <w:rPr>
          <w:rFonts w:eastAsia="Arial Unicode MS"/>
          <w:sz w:val="30"/>
          <w:szCs w:val="30"/>
        </w:rPr>
        <w:t xml:space="preserve"> </w:t>
      </w:r>
      <w:r>
        <w:rPr>
          <w:rFonts w:eastAsia="Arial Unicode MS"/>
          <w:b/>
          <w:sz w:val="30"/>
          <w:szCs w:val="30"/>
        </w:rPr>
        <w:t xml:space="preserve">MAY </w:t>
      </w:r>
      <w:r w:rsidRPr="00775896">
        <w:rPr>
          <w:rFonts w:eastAsia="Arial Unicode MS"/>
          <w:b/>
          <w:sz w:val="30"/>
          <w:szCs w:val="30"/>
        </w:rPr>
        <w:t>201</w:t>
      </w:r>
      <w:r>
        <w:rPr>
          <w:rFonts w:eastAsia="Arial Unicode MS"/>
          <w:b/>
          <w:sz w:val="30"/>
          <w:szCs w:val="30"/>
        </w:rPr>
        <w:t>4</w:t>
      </w:r>
      <w:r w:rsidRPr="00775896">
        <w:rPr>
          <w:rFonts w:eastAsia="Arial Unicode MS"/>
          <w:b/>
          <w:sz w:val="30"/>
          <w:szCs w:val="30"/>
        </w:rPr>
        <w:tab/>
      </w:r>
      <w:r w:rsidRPr="00775896">
        <w:rPr>
          <w:rFonts w:eastAsia="Arial Unicode MS"/>
          <w:b/>
          <w:sz w:val="30"/>
          <w:szCs w:val="30"/>
        </w:rPr>
        <w:tab/>
      </w:r>
    </w:p>
    <w:p w:rsidR="00E111B9" w:rsidRDefault="00E111B9" w:rsidP="00E111B9">
      <w:pPr>
        <w:ind w:left="2880" w:hanging="2880"/>
        <w:jc w:val="both"/>
        <w:rPr>
          <w:rFonts w:eastAsia="Arial Unicode MS"/>
          <w:b/>
          <w:sz w:val="30"/>
          <w:szCs w:val="30"/>
        </w:rPr>
      </w:pPr>
    </w:p>
    <w:p w:rsidR="00E111B9" w:rsidRDefault="00E111B9" w:rsidP="00E111B9">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30 MAY </w:t>
      </w:r>
      <w:r w:rsidRPr="00775896">
        <w:rPr>
          <w:rFonts w:eastAsia="Arial Unicode MS"/>
          <w:b/>
          <w:sz w:val="30"/>
          <w:szCs w:val="30"/>
        </w:rPr>
        <w:t>201</w:t>
      </w:r>
      <w:r>
        <w:rPr>
          <w:rFonts w:eastAsia="Arial Unicode MS"/>
          <w:b/>
          <w:sz w:val="30"/>
          <w:szCs w:val="30"/>
        </w:rPr>
        <w:t>4</w:t>
      </w:r>
    </w:p>
    <w:p w:rsidR="008649D2" w:rsidRDefault="008649D2" w:rsidP="00E111B9">
      <w:pPr>
        <w:ind w:left="2880" w:hanging="2880"/>
        <w:jc w:val="both"/>
        <w:rPr>
          <w:rFonts w:eastAsia="Arial Unicode MS"/>
          <w:b/>
          <w:sz w:val="30"/>
          <w:szCs w:val="30"/>
        </w:rPr>
      </w:pPr>
    </w:p>
    <w:p w:rsidR="008649D2" w:rsidRPr="00AE7603" w:rsidRDefault="008649D2" w:rsidP="00E111B9">
      <w:pPr>
        <w:ind w:left="2880" w:hanging="2880"/>
        <w:jc w:val="both"/>
        <w:rPr>
          <w:rFonts w:eastAsia="Arial Unicode MS"/>
          <w:b/>
          <w:sz w:val="30"/>
          <w:szCs w:val="30"/>
        </w:rPr>
      </w:pPr>
    </w:p>
    <w:p w:rsidR="00E111B9" w:rsidRPr="00230F5C" w:rsidRDefault="00E111B9" w:rsidP="00E111B9">
      <w:pPr>
        <w:ind w:left="2880" w:hanging="2880"/>
        <w:jc w:val="center"/>
        <w:rPr>
          <w:rFonts w:eastAsia="Arial Unicode MS"/>
          <w:b/>
          <w:sz w:val="30"/>
          <w:szCs w:val="30"/>
          <w:u w:val="single"/>
        </w:rPr>
      </w:pPr>
      <w:r w:rsidRPr="00230F5C">
        <w:rPr>
          <w:rFonts w:eastAsia="Arial Unicode MS"/>
          <w:b/>
          <w:sz w:val="30"/>
          <w:szCs w:val="30"/>
          <w:u w:val="single"/>
        </w:rPr>
        <w:t>SUMMARY</w:t>
      </w:r>
    </w:p>
    <w:p w:rsidR="00E111B9" w:rsidRDefault="00E111B9" w:rsidP="00E111B9">
      <w:pPr>
        <w:spacing w:line="360" w:lineRule="auto"/>
        <w:jc w:val="both"/>
        <w:rPr>
          <w:rFonts w:eastAsia="Arial Unicode MS"/>
          <w:i/>
          <w:sz w:val="30"/>
          <w:szCs w:val="30"/>
        </w:rPr>
      </w:pPr>
    </w:p>
    <w:p w:rsidR="009D6B19" w:rsidRPr="00B05920" w:rsidRDefault="009D6B19" w:rsidP="00F139DB">
      <w:pPr>
        <w:spacing w:line="360" w:lineRule="auto"/>
        <w:jc w:val="both"/>
        <w:rPr>
          <w:rFonts w:eastAsia="Arial Unicode MS"/>
          <w:i/>
          <w:sz w:val="30"/>
          <w:szCs w:val="30"/>
        </w:rPr>
      </w:pPr>
      <w:r w:rsidRPr="00B05920">
        <w:rPr>
          <w:rFonts w:eastAsia="Arial Unicode MS"/>
          <w:i/>
          <w:sz w:val="30"/>
          <w:szCs w:val="30"/>
        </w:rPr>
        <w:t>Practi</w:t>
      </w:r>
      <w:r w:rsidR="00EA2B98" w:rsidRPr="00B05920">
        <w:rPr>
          <w:rFonts w:eastAsia="Arial Unicode MS"/>
          <w:i/>
          <w:sz w:val="30"/>
          <w:szCs w:val="30"/>
        </w:rPr>
        <w:t>c</w:t>
      </w:r>
      <w:r w:rsidRPr="00B05920">
        <w:rPr>
          <w:rFonts w:eastAsia="Arial Unicode MS"/>
          <w:i/>
          <w:sz w:val="30"/>
          <w:szCs w:val="30"/>
        </w:rPr>
        <w:t xml:space="preserve">e and procedure – Interdict – The respondent company, as applicant, sought and obtained an interim order interdicting and restraining the appellants from transferring certain disputed property as well as an order to have the property registered in its name – Serious allegations of fraud directed against the appellants – No answering affidavits forthcoming from the appellants – </w:t>
      </w:r>
      <w:r w:rsidR="00CF33A5" w:rsidRPr="00B05920">
        <w:rPr>
          <w:rFonts w:eastAsia="Arial Unicode MS"/>
          <w:i/>
          <w:sz w:val="30"/>
          <w:szCs w:val="30"/>
        </w:rPr>
        <w:t xml:space="preserve">The appellants wrongly relying </w:t>
      </w:r>
      <w:r w:rsidR="00B05920">
        <w:rPr>
          <w:rFonts w:eastAsia="Arial Unicode MS"/>
          <w:i/>
          <w:sz w:val="30"/>
          <w:szCs w:val="30"/>
        </w:rPr>
        <w:t>o</w:t>
      </w:r>
      <w:r w:rsidR="00CF33A5" w:rsidRPr="00B05920">
        <w:rPr>
          <w:rFonts w:eastAsia="Arial Unicode MS"/>
          <w:i/>
          <w:sz w:val="30"/>
          <w:szCs w:val="30"/>
        </w:rPr>
        <w:t xml:space="preserve">n Rule 35 (20) of the High Court Rules on discovery </w:t>
      </w:r>
      <w:r w:rsidR="00B05920">
        <w:rPr>
          <w:rFonts w:eastAsia="Arial Unicode MS"/>
          <w:i/>
          <w:sz w:val="30"/>
          <w:szCs w:val="30"/>
        </w:rPr>
        <w:t xml:space="preserve">as justification for not filing answering affidavits </w:t>
      </w:r>
      <w:r w:rsidR="00CF33A5" w:rsidRPr="00B05920">
        <w:rPr>
          <w:rFonts w:eastAsia="Arial Unicode MS"/>
          <w:i/>
          <w:sz w:val="30"/>
          <w:szCs w:val="30"/>
        </w:rPr>
        <w:t xml:space="preserve">- </w:t>
      </w:r>
      <w:r w:rsidR="00B05920">
        <w:rPr>
          <w:rFonts w:eastAsia="Arial Unicode MS"/>
          <w:i/>
          <w:sz w:val="30"/>
          <w:szCs w:val="30"/>
        </w:rPr>
        <w:t>T</w:t>
      </w:r>
      <w:r w:rsidRPr="00B05920">
        <w:rPr>
          <w:rFonts w:eastAsia="Arial Unicode MS"/>
          <w:i/>
          <w:sz w:val="30"/>
          <w:szCs w:val="30"/>
        </w:rPr>
        <w:t>he court a quo correctly holding the view that there was “no contest” as to the facts and th</w:t>
      </w:r>
      <w:r w:rsidR="007751DF">
        <w:rPr>
          <w:rFonts w:eastAsia="Arial Unicode MS"/>
          <w:i/>
          <w:sz w:val="30"/>
          <w:szCs w:val="30"/>
        </w:rPr>
        <w:t>u</w:t>
      </w:r>
      <w:r w:rsidRPr="00B05920">
        <w:rPr>
          <w:rFonts w:eastAsia="Arial Unicode MS"/>
          <w:i/>
          <w:sz w:val="30"/>
          <w:szCs w:val="30"/>
        </w:rPr>
        <w:t>s confirming the interim order – Appeal dismissed with costs.</w:t>
      </w:r>
    </w:p>
    <w:p w:rsidR="00D70879" w:rsidRDefault="00D70879" w:rsidP="00F139DB">
      <w:pPr>
        <w:spacing w:line="360" w:lineRule="auto"/>
        <w:rPr>
          <w:rFonts w:eastAsia="Arial Unicode MS"/>
          <w:b/>
          <w:sz w:val="30"/>
          <w:szCs w:val="30"/>
          <w:u w:val="single"/>
        </w:rPr>
      </w:pPr>
    </w:p>
    <w:p w:rsidR="00D70879" w:rsidRDefault="00D70879" w:rsidP="00E111B9">
      <w:pPr>
        <w:ind w:left="2880" w:hanging="2880"/>
        <w:jc w:val="center"/>
        <w:rPr>
          <w:rFonts w:eastAsia="Arial Unicode MS"/>
          <w:b/>
          <w:sz w:val="30"/>
          <w:szCs w:val="30"/>
          <w:u w:val="single"/>
        </w:rPr>
      </w:pPr>
    </w:p>
    <w:p w:rsidR="00E111B9" w:rsidRPr="00230F5C" w:rsidRDefault="00E111B9" w:rsidP="00E111B9">
      <w:pPr>
        <w:ind w:left="2880" w:hanging="2880"/>
        <w:jc w:val="center"/>
        <w:rPr>
          <w:rFonts w:eastAsia="Arial Unicode MS"/>
          <w:b/>
          <w:sz w:val="30"/>
          <w:szCs w:val="30"/>
          <w:u w:val="single"/>
        </w:rPr>
      </w:pPr>
      <w:r w:rsidRPr="00230F5C">
        <w:rPr>
          <w:rFonts w:eastAsia="Arial Unicode MS"/>
          <w:b/>
          <w:sz w:val="30"/>
          <w:szCs w:val="30"/>
          <w:u w:val="single"/>
        </w:rPr>
        <w:t>JUDGMENT</w:t>
      </w:r>
    </w:p>
    <w:p w:rsidR="00E111B9" w:rsidRPr="00174A39" w:rsidRDefault="00E111B9" w:rsidP="00E111B9">
      <w:pPr>
        <w:ind w:left="2880" w:hanging="2880"/>
        <w:jc w:val="both"/>
        <w:rPr>
          <w:rFonts w:eastAsia="Arial Unicode MS"/>
          <w:b/>
          <w:sz w:val="30"/>
          <w:szCs w:val="30"/>
        </w:rPr>
      </w:pPr>
    </w:p>
    <w:p w:rsidR="00E111B9" w:rsidRPr="00775896" w:rsidRDefault="00E111B9" w:rsidP="00E111B9">
      <w:pPr>
        <w:ind w:left="2880" w:hanging="2880"/>
        <w:jc w:val="both"/>
        <w:rPr>
          <w:rFonts w:eastAsia="Arial Unicode MS"/>
          <w:b/>
          <w:sz w:val="30"/>
          <w:szCs w:val="30"/>
        </w:rPr>
      </w:pPr>
    </w:p>
    <w:p w:rsidR="00E111B9" w:rsidRPr="00775896" w:rsidRDefault="00E111B9" w:rsidP="00E111B9">
      <w:pPr>
        <w:ind w:left="2880" w:hanging="2880"/>
        <w:jc w:val="both"/>
        <w:rPr>
          <w:rFonts w:eastAsia="Arial Unicode MS"/>
          <w:b/>
          <w:sz w:val="30"/>
          <w:szCs w:val="30"/>
        </w:rPr>
      </w:pPr>
      <w:r w:rsidRPr="00775896">
        <w:rPr>
          <w:rFonts w:eastAsia="Arial Unicode MS"/>
          <w:b/>
          <w:sz w:val="30"/>
          <w:szCs w:val="30"/>
        </w:rPr>
        <w:t>RAMODIBEDI CJ</w:t>
      </w:r>
    </w:p>
    <w:p w:rsidR="00E111B9" w:rsidRPr="00775896" w:rsidRDefault="00E111B9" w:rsidP="00E111B9">
      <w:pPr>
        <w:ind w:left="2880" w:hanging="2880"/>
        <w:jc w:val="both"/>
        <w:rPr>
          <w:rFonts w:eastAsia="Arial Unicode MS"/>
          <w:sz w:val="30"/>
          <w:szCs w:val="30"/>
        </w:rPr>
      </w:pPr>
    </w:p>
    <w:p w:rsidR="00E111B9" w:rsidRPr="00775896" w:rsidRDefault="00E111B9" w:rsidP="00E111B9">
      <w:pPr>
        <w:ind w:left="2880" w:hanging="2880"/>
        <w:jc w:val="both"/>
        <w:rPr>
          <w:rFonts w:eastAsia="Arial Unicode MS"/>
          <w:sz w:val="30"/>
          <w:szCs w:val="30"/>
        </w:rPr>
      </w:pPr>
    </w:p>
    <w:p w:rsidR="00D70879" w:rsidRDefault="00E111B9" w:rsidP="00E111B9">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Th</w:t>
      </w:r>
      <w:r w:rsidR="00D70879">
        <w:rPr>
          <w:rFonts w:eastAsia="Arial Unicode MS"/>
          <w:sz w:val="30"/>
          <w:szCs w:val="30"/>
        </w:rPr>
        <w:t>e respondent company, as applicant, sought and obtained an interim order in the High Court interdicting and restraining the appellants from al</w:t>
      </w:r>
      <w:r>
        <w:rPr>
          <w:rFonts w:eastAsia="Arial Unicode MS"/>
          <w:sz w:val="30"/>
          <w:szCs w:val="30"/>
        </w:rPr>
        <w:t>i</w:t>
      </w:r>
      <w:r w:rsidR="00D70879">
        <w:rPr>
          <w:rFonts w:eastAsia="Arial Unicode MS"/>
          <w:sz w:val="30"/>
          <w:szCs w:val="30"/>
        </w:rPr>
        <w:t xml:space="preserve">enating, transferring or encumbering certain immovable </w:t>
      </w:r>
      <w:r w:rsidR="00EE1C8A">
        <w:rPr>
          <w:rFonts w:eastAsia="Arial Unicode MS"/>
          <w:sz w:val="30"/>
          <w:szCs w:val="30"/>
        </w:rPr>
        <w:t>property under</w:t>
      </w:r>
      <w:r w:rsidR="00D70879">
        <w:rPr>
          <w:rFonts w:eastAsia="Arial Unicode MS"/>
          <w:sz w:val="30"/>
          <w:szCs w:val="30"/>
        </w:rPr>
        <w:t xml:space="preserve"> deed of Transfer No. 273</w:t>
      </w:r>
      <w:r w:rsidR="00BE6C47">
        <w:rPr>
          <w:rFonts w:eastAsia="Arial Unicode MS"/>
          <w:sz w:val="30"/>
          <w:szCs w:val="30"/>
        </w:rPr>
        <w:t>/</w:t>
      </w:r>
      <w:r w:rsidR="00D70879">
        <w:rPr>
          <w:rFonts w:eastAsia="Arial Unicode MS"/>
          <w:sz w:val="30"/>
          <w:szCs w:val="30"/>
        </w:rPr>
        <w:t xml:space="preserve">2013, being portion 3 of Farm No. 28 </w:t>
      </w:r>
      <w:r w:rsidR="00D70879">
        <w:rPr>
          <w:rFonts w:eastAsia="Arial Unicode MS"/>
          <w:sz w:val="30"/>
          <w:szCs w:val="30"/>
        </w:rPr>
        <w:lastRenderedPageBreak/>
        <w:t xml:space="preserve">situated in the </w:t>
      </w:r>
      <w:proofErr w:type="spellStart"/>
      <w:r w:rsidR="00D70879">
        <w:rPr>
          <w:rFonts w:eastAsia="Arial Unicode MS"/>
          <w:sz w:val="30"/>
          <w:szCs w:val="30"/>
        </w:rPr>
        <w:t>Lubombo</w:t>
      </w:r>
      <w:proofErr w:type="spellEnd"/>
      <w:r w:rsidR="00D70879">
        <w:rPr>
          <w:rFonts w:eastAsia="Arial Unicode MS"/>
          <w:sz w:val="30"/>
          <w:szCs w:val="30"/>
        </w:rPr>
        <w:t xml:space="preserve"> District in Swaziland.  </w:t>
      </w:r>
      <w:r w:rsidR="0067233B">
        <w:rPr>
          <w:rFonts w:eastAsia="Arial Unicode MS"/>
          <w:sz w:val="30"/>
          <w:szCs w:val="30"/>
        </w:rPr>
        <w:t xml:space="preserve">Furthermore, </w:t>
      </w:r>
      <w:r w:rsidR="00D70879">
        <w:rPr>
          <w:rFonts w:eastAsia="Arial Unicode MS"/>
          <w:sz w:val="30"/>
          <w:szCs w:val="30"/>
        </w:rPr>
        <w:t>the respondent applied for an order registering the property in its name.</w:t>
      </w:r>
    </w:p>
    <w:p w:rsidR="00D70879" w:rsidRDefault="00D70879" w:rsidP="00E111B9">
      <w:pPr>
        <w:spacing w:line="480" w:lineRule="auto"/>
        <w:ind w:left="720" w:hanging="720"/>
        <w:jc w:val="both"/>
        <w:rPr>
          <w:rFonts w:eastAsia="Arial Unicode MS"/>
          <w:sz w:val="30"/>
          <w:szCs w:val="30"/>
        </w:rPr>
      </w:pPr>
    </w:p>
    <w:p w:rsidR="000C4E83" w:rsidRDefault="00D70879" w:rsidP="00E111B9">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 xml:space="preserve">According to the uncontested contents of the founding affidavit of </w:t>
      </w:r>
      <w:r w:rsidR="0067233B">
        <w:rPr>
          <w:rFonts w:eastAsia="Arial Unicode MS"/>
          <w:sz w:val="30"/>
          <w:szCs w:val="30"/>
        </w:rPr>
        <w:t xml:space="preserve">Walter Phillip Bennett, who is a Director of the respondent company, the </w:t>
      </w:r>
      <w:r>
        <w:rPr>
          <w:rFonts w:eastAsia="Arial Unicode MS"/>
          <w:sz w:val="30"/>
          <w:szCs w:val="30"/>
        </w:rPr>
        <w:t>disputed property ori</w:t>
      </w:r>
      <w:r w:rsidR="006D77D8">
        <w:rPr>
          <w:rFonts w:eastAsia="Arial Unicode MS"/>
          <w:sz w:val="30"/>
          <w:szCs w:val="30"/>
        </w:rPr>
        <w:t xml:space="preserve">ginally belonged to the late </w:t>
      </w:r>
      <w:r w:rsidR="000D5233">
        <w:rPr>
          <w:rFonts w:eastAsia="Arial Unicode MS"/>
          <w:sz w:val="30"/>
          <w:szCs w:val="30"/>
        </w:rPr>
        <w:t>H</w:t>
      </w:r>
      <w:r w:rsidR="006D77D8">
        <w:rPr>
          <w:rFonts w:eastAsia="Arial Unicode MS"/>
          <w:sz w:val="30"/>
          <w:szCs w:val="30"/>
        </w:rPr>
        <w:t xml:space="preserve">enry </w:t>
      </w:r>
      <w:proofErr w:type="spellStart"/>
      <w:r w:rsidR="006D77D8">
        <w:rPr>
          <w:rFonts w:eastAsia="Arial Unicode MS"/>
          <w:sz w:val="30"/>
          <w:szCs w:val="30"/>
        </w:rPr>
        <w:t>Ntonto</w:t>
      </w:r>
      <w:proofErr w:type="spellEnd"/>
      <w:r w:rsidR="00D45490">
        <w:rPr>
          <w:rFonts w:eastAsia="Arial Unicode MS"/>
          <w:sz w:val="30"/>
          <w:szCs w:val="30"/>
        </w:rPr>
        <w:t xml:space="preserve"> </w:t>
      </w:r>
      <w:proofErr w:type="spellStart"/>
      <w:r w:rsidR="00D45490">
        <w:rPr>
          <w:rFonts w:eastAsia="Arial Unicode MS"/>
          <w:sz w:val="30"/>
          <w:szCs w:val="30"/>
        </w:rPr>
        <w:t>Vilane</w:t>
      </w:r>
      <w:proofErr w:type="spellEnd"/>
      <w:r w:rsidR="00D45490">
        <w:rPr>
          <w:rFonts w:eastAsia="Arial Unicode MS"/>
          <w:sz w:val="30"/>
          <w:szCs w:val="30"/>
        </w:rPr>
        <w:t xml:space="preserve"> (“the deceased”).  It was subsequently sold to the respondent by one </w:t>
      </w:r>
      <w:proofErr w:type="spellStart"/>
      <w:r w:rsidR="00D45490">
        <w:rPr>
          <w:rFonts w:eastAsia="Arial Unicode MS"/>
          <w:sz w:val="30"/>
          <w:szCs w:val="30"/>
        </w:rPr>
        <w:t>Siboniso</w:t>
      </w:r>
      <w:proofErr w:type="spellEnd"/>
      <w:r w:rsidR="00D45490">
        <w:rPr>
          <w:rFonts w:eastAsia="Arial Unicode MS"/>
          <w:sz w:val="30"/>
          <w:szCs w:val="30"/>
        </w:rPr>
        <w:t xml:space="preserve"> C. </w:t>
      </w:r>
      <w:proofErr w:type="spellStart"/>
      <w:r w:rsidR="00D45490">
        <w:rPr>
          <w:rFonts w:eastAsia="Arial Unicode MS"/>
          <w:sz w:val="30"/>
          <w:szCs w:val="30"/>
        </w:rPr>
        <w:t>Dlamini</w:t>
      </w:r>
      <w:proofErr w:type="spellEnd"/>
      <w:r w:rsidR="00D45490">
        <w:rPr>
          <w:rFonts w:eastAsia="Arial Unicode MS"/>
          <w:sz w:val="30"/>
          <w:szCs w:val="30"/>
        </w:rPr>
        <w:t xml:space="preserve"> in his capacity as the Executor of the deceased’s estate.  He was duly cited as the 7</w:t>
      </w:r>
      <w:r w:rsidR="00D45490" w:rsidRPr="00D45490">
        <w:rPr>
          <w:rFonts w:eastAsia="Arial Unicode MS"/>
          <w:sz w:val="30"/>
          <w:szCs w:val="30"/>
          <w:vertAlign w:val="superscript"/>
        </w:rPr>
        <w:t>th</w:t>
      </w:r>
      <w:r w:rsidR="00D45490">
        <w:rPr>
          <w:rFonts w:eastAsia="Arial Unicode MS"/>
          <w:sz w:val="30"/>
          <w:szCs w:val="30"/>
        </w:rPr>
        <w:t xml:space="preserve"> respondent in the court below.</w:t>
      </w:r>
      <w:r w:rsidR="006D77D8">
        <w:rPr>
          <w:rFonts w:eastAsia="Arial Unicode MS"/>
          <w:sz w:val="30"/>
          <w:szCs w:val="30"/>
        </w:rPr>
        <w:t xml:space="preserve"> </w:t>
      </w:r>
      <w:r w:rsidR="000C4E83">
        <w:rPr>
          <w:rFonts w:eastAsia="Arial Unicode MS"/>
          <w:sz w:val="30"/>
          <w:szCs w:val="30"/>
        </w:rPr>
        <w:t xml:space="preserve">An order for the transfer of the property into the respondent’s name was actually sought against him in the present matter.  </w:t>
      </w:r>
    </w:p>
    <w:p w:rsidR="000C4E83" w:rsidRDefault="000C4E83" w:rsidP="00E111B9">
      <w:pPr>
        <w:spacing w:line="480" w:lineRule="auto"/>
        <w:ind w:left="720" w:hanging="720"/>
        <w:jc w:val="both"/>
        <w:rPr>
          <w:rFonts w:eastAsia="Arial Unicode MS"/>
          <w:sz w:val="30"/>
          <w:szCs w:val="30"/>
        </w:rPr>
      </w:pPr>
    </w:p>
    <w:p w:rsidR="000C4E83" w:rsidRDefault="000C4E83" w:rsidP="00E111B9">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 xml:space="preserve">It is pertinent to record that the founding affidavit of Walter Phillip Bennett is replete with several serious allegations of fraud perpetrated by the appellants against the deceased’s estate.  These may be </w:t>
      </w:r>
      <w:proofErr w:type="spellStart"/>
      <w:r>
        <w:rPr>
          <w:rFonts w:eastAsia="Arial Unicode MS"/>
          <w:sz w:val="30"/>
          <w:szCs w:val="30"/>
        </w:rPr>
        <w:t>summarised</w:t>
      </w:r>
      <w:proofErr w:type="spellEnd"/>
      <w:r>
        <w:rPr>
          <w:rFonts w:eastAsia="Arial Unicode MS"/>
          <w:sz w:val="30"/>
          <w:szCs w:val="30"/>
        </w:rPr>
        <w:t xml:space="preserve"> as follows:-</w:t>
      </w:r>
    </w:p>
    <w:p w:rsidR="000C4E83" w:rsidRDefault="000C4E83" w:rsidP="00E111B9">
      <w:pPr>
        <w:spacing w:line="480" w:lineRule="auto"/>
        <w:ind w:left="720" w:hanging="720"/>
        <w:jc w:val="both"/>
        <w:rPr>
          <w:rFonts w:eastAsia="Arial Unicode MS"/>
          <w:sz w:val="30"/>
          <w:szCs w:val="30"/>
        </w:rPr>
      </w:pPr>
    </w:p>
    <w:p w:rsidR="00B61B79" w:rsidRDefault="000C4E83" w:rsidP="00232836">
      <w:pPr>
        <w:pStyle w:val="ListParagraph"/>
        <w:numPr>
          <w:ilvl w:val="0"/>
          <w:numId w:val="7"/>
        </w:numPr>
        <w:spacing w:line="480" w:lineRule="auto"/>
        <w:ind w:hanging="720"/>
        <w:jc w:val="both"/>
        <w:rPr>
          <w:rFonts w:eastAsia="Arial Unicode MS"/>
          <w:sz w:val="30"/>
          <w:szCs w:val="30"/>
        </w:rPr>
      </w:pPr>
      <w:r w:rsidRPr="00232836">
        <w:rPr>
          <w:rFonts w:eastAsia="Arial Unicode MS"/>
          <w:sz w:val="30"/>
          <w:szCs w:val="30"/>
        </w:rPr>
        <w:t xml:space="preserve">Upon the </w:t>
      </w:r>
      <w:proofErr w:type="spellStart"/>
      <w:r w:rsidRPr="00232836">
        <w:rPr>
          <w:rFonts w:eastAsia="Arial Unicode MS"/>
          <w:sz w:val="30"/>
          <w:szCs w:val="30"/>
        </w:rPr>
        <w:t>decesead’s</w:t>
      </w:r>
      <w:proofErr w:type="spellEnd"/>
      <w:r w:rsidRPr="00232836">
        <w:rPr>
          <w:rFonts w:eastAsia="Arial Unicode MS"/>
          <w:sz w:val="30"/>
          <w:szCs w:val="30"/>
        </w:rPr>
        <w:t xml:space="preserve"> death, and before the Executor could be appointed by the Master of the High Court to administer the </w:t>
      </w:r>
      <w:r w:rsidRPr="00232836">
        <w:rPr>
          <w:rFonts w:eastAsia="Arial Unicode MS"/>
          <w:sz w:val="30"/>
          <w:szCs w:val="30"/>
        </w:rPr>
        <w:lastRenderedPageBreak/>
        <w:t>estate, his eldest son</w:t>
      </w:r>
      <w:r w:rsidR="0067233B" w:rsidRPr="00232836">
        <w:rPr>
          <w:rFonts w:eastAsia="Arial Unicode MS"/>
          <w:sz w:val="30"/>
          <w:szCs w:val="30"/>
        </w:rPr>
        <w:t>,</w:t>
      </w:r>
      <w:r w:rsidRPr="00232836">
        <w:rPr>
          <w:rFonts w:eastAsia="Arial Unicode MS"/>
          <w:sz w:val="30"/>
          <w:szCs w:val="30"/>
        </w:rPr>
        <w:t xml:space="preserve"> Ben Jacob </w:t>
      </w:r>
      <w:proofErr w:type="spellStart"/>
      <w:r w:rsidRPr="00232836">
        <w:rPr>
          <w:rFonts w:eastAsia="Arial Unicode MS"/>
          <w:sz w:val="30"/>
          <w:szCs w:val="30"/>
        </w:rPr>
        <w:t>Vilane</w:t>
      </w:r>
      <w:proofErr w:type="spellEnd"/>
      <w:r w:rsidR="0067233B" w:rsidRPr="00232836">
        <w:rPr>
          <w:rFonts w:eastAsia="Arial Unicode MS"/>
          <w:sz w:val="30"/>
          <w:szCs w:val="30"/>
        </w:rPr>
        <w:t>,</w:t>
      </w:r>
      <w:r w:rsidRPr="00232836">
        <w:rPr>
          <w:rFonts w:eastAsia="Arial Unicode MS"/>
          <w:sz w:val="30"/>
          <w:szCs w:val="30"/>
        </w:rPr>
        <w:t xml:space="preserve"> fraudulently caused all his properties to be transferred into his name, claiming that he was the designated h</w:t>
      </w:r>
      <w:r w:rsidR="0067233B" w:rsidRPr="00232836">
        <w:rPr>
          <w:rFonts w:eastAsia="Arial Unicode MS"/>
          <w:sz w:val="30"/>
          <w:szCs w:val="30"/>
        </w:rPr>
        <w:t>e</w:t>
      </w:r>
      <w:r w:rsidRPr="00232836">
        <w:rPr>
          <w:rFonts w:eastAsia="Arial Unicode MS"/>
          <w:sz w:val="30"/>
          <w:szCs w:val="30"/>
        </w:rPr>
        <w:t>ir.  It is alleged that in so</w:t>
      </w:r>
      <w:r w:rsidR="00BA14AF" w:rsidRPr="00232836">
        <w:rPr>
          <w:rFonts w:eastAsia="Arial Unicode MS"/>
          <w:sz w:val="30"/>
          <w:szCs w:val="30"/>
        </w:rPr>
        <w:t xml:space="preserve"> doing</w:t>
      </w:r>
      <w:r w:rsidR="0067233B" w:rsidRPr="00232836">
        <w:rPr>
          <w:rFonts w:eastAsia="Arial Unicode MS"/>
          <w:sz w:val="30"/>
          <w:szCs w:val="30"/>
        </w:rPr>
        <w:t>,</w:t>
      </w:r>
      <w:r w:rsidR="00BA14AF" w:rsidRPr="00232836">
        <w:rPr>
          <w:rFonts w:eastAsia="Arial Unicode MS"/>
          <w:sz w:val="30"/>
          <w:szCs w:val="30"/>
        </w:rPr>
        <w:t xml:space="preserve"> he made a fraudulent misrepresentation to the Registrar of Deeds that he was the Executor of the deceased’s estate and was, therefore</w:t>
      </w:r>
      <w:r w:rsidR="00971E10" w:rsidRPr="00232836">
        <w:rPr>
          <w:rFonts w:eastAsia="Arial Unicode MS"/>
          <w:sz w:val="30"/>
          <w:szCs w:val="30"/>
        </w:rPr>
        <w:t xml:space="preserve">, </w:t>
      </w:r>
      <w:proofErr w:type="spellStart"/>
      <w:r w:rsidR="00971E10" w:rsidRPr="00232836">
        <w:rPr>
          <w:rFonts w:eastAsia="Arial Unicode MS"/>
          <w:sz w:val="30"/>
          <w:szCs w:val="30"/>
        </w:rPr>
        <w:t>authori</w:t>
      </w:r>
      <w:r w:rsidR="0067233B" w:rsidRPr="00232836">
        <w:rPr>
          <w:rFonts w:eastAsia="Arial Unicode MS"/>
          <w:sz w:val="30"/>
          <w:szCs w:val="30"/>
        </w:rPr>
        <w:t>s</w:t>
      </w:r>
      <w:r w:rsidR="00971E10" w:rsidRPr="00232836">
        <w:rPr>
          <w:rFonts w:eastAsia="Arial Unicode MS"/>
          <w:sz w:val="30"/>
          <w:szCs w:val="30"/>
        </w:rPr>
        <w:t>ed</w:t>
      </w:r>
      <w:proofErr w:type="spellEnd"/>
      <w:r w:rsidR="00971E10" w:rsidRPr="00232836">
        <w:rPr>
          <w:rFonts w:eastAsia="Arial Unicode MS"/>
          <w:sz w:val="30"/>
          <w:szCs w:val="30"/>
        </w:rPr>
        <w:t xml:space="preserve"> to </w:t>
      </w:r>
      <w:proofErr w:type="gramStart"/>
      <w:r w:rsidR="00971E10" w:rsidRPr="00232836">
        <w:rPr>
          <w:rFonts w:eastAsia="Arial Unicode MS"/>
          <w:sz w:val="30"/>
          <w:szCs w:val="30"/>
        </w:rPr>
        <w:t>effect</w:t>
      </w:r>
      <w:proofErr w:type="gramEnd"/>
      <w:r w:rsidR="00971E10" w:rsidRPr="00232836">
        <w:rPr>
          <w:rFonts w:eastAsia="Arial Unicode MS"/>
          <w:sz w:val="30"/>
          <w:szCs w:val="30"/>
        </w:rPr>
        <w:t xml:space="preserve"> the transfer.</w:t>
      </w:r>
      <w:r w:rsidR="0067233B" w:rsidRPr="00232836">
        <w:rPr>
          <w:rFonts w:eastAsia="Arial Unicode MS"/>
          <w:sz w:val="30"/>
          <w:szCs w:val="30"/>
        </w:rPr>
        <w:t xml:space="preserve">  In my view, these were serious allegations which stood uncontroverted.  </w:t>
      </w:r>
    </w:p>
    <w:p w:rsidR="00B61B79" w:rsidRDefault="00B61B79" w:rsidP="00B61B79">
      <w:pPr>
        <w:pStyle w:val="ListParagraph"/>
        <w:spacing w:line="480" w:lineRule="auto"/>
        <w:ind w:left="1440"/>
        <w:jc w:val="both"/>
        <w:rPr>
          <w:rFonts w:eastAsia="Arial Unicode MS"/>
          <w:sz w:val="30"/>
          <w:szCs w:val="30"/>
        </w:rPr>
      </w:pPr>
    </w:p>
    <w:p w:rsidR="00971E10" w:rsidRPr="00232836" w:rsidRDefault="0067233B" w:rsidP="00B61B79">
      <w:pPr>
        <w:pStyle w:val="ListParagraph"/>
        <w:spacing w:line="480" w:lineRule="auto"/>
        <w:ind w:left="1440"/>
        <w:jc w:val="both"/>
        <w:rPr>
          <w:rFonts w:eastAsia="Arial Unicode MS"/>
          <w:sz w:val="30"/>
          <w:szCs w:val="30"/>
        </w:rPr>
      </w:pPr>
      <w:r w:rsidRPr="00232836">
        <w:rPr>
          <w:rFonts w:eastAsia="Arial Unicode MS"/>
          <w:sz w:val="30"/>
          <w:szCs w:val="30"/>
        </w:rPr>
        <w:t>It need hardly be stressed that in law the heir does not acquire dominium</w:t>
      </w:r>
      <w:r w:rsidR="0056630A" w:rsidRPr="00232836">
        <w:rPr>
          <w:rFonts w:eastAsia="Arial Unicode MS"/>
          <w:sz w:val="30"/>
          <w:szCs w:val="30"/>
        </w:rPr>
        <w:t xml:space="preserve"> in the deceased’s estate until it is wound up after the appointment of an executor.  It will be seen for that matter</w:t>
      </w:r>
      <w:r w:rsidR="00223FAE" w:rsidRPr="00232836">
        <w:rPr>
          <w:rFonts w:eastAsia="Arial Unicode MS"/>
          <w:sz w:val="30"/>
          <w:szCs w:val="30"/>
        </w:rPr>
        <w:t xml:space="preserve"> that in terms of s 41 of the Administration of Estates Act 28 of 1902, </w:t>
      </w:r>
      <w:r w:rsidR="00223FAE" w:rsidRPr="00232836">
        <w:rPr>
          <w:rFonts w:eastAsia="Arial Unicode MS"/>
          <w:sz w:val="30"/>
          <w:szCs w:val="30"/>
          <w:u w:val="single"/>
        </w:rPr>
        <w:t>all</w:t>
      </w:r>
      <w:r w:rsidR="00223FAE" w:rsidRPr="00232836">
        <w:rPr>
          <w:rFonts w:eastAsia="Arial Unicode MS"/>
          <w:sz w:val="30"/>
          <w:szCs w:val="30"/>
        </w:rPr>
        <w:t xml:space="preserve"> persons (including the heir) who are in possession of any assets belonging to the deceased’s estate are obliged to deliver such assets to the Executor.  See, for example, the decision of this Court in </w:t>
      </w:r>
      <w:r w:rsidR="00223FAE" w:rsidRPr="00232836">
        <w:rPr>
          <w:rFonts w:eastAsia="Arial Unicode MS"/>
          <w:b/>
          <w:sz w:val="30"/>
          <w:szCs w:val="30"/>
          <w:u w:val="single"/>
        </w:rPr>
        <w:t xml:space="preserve">Elijah </w:t>
      </w:r>
      <w:proofErr w:type="spellStart"/>
      <w:r w:rsidR="00223FAE" w:rsidRPr="00232836">
        <w:rPr>
          <w:rFonts w:eastAsia="Arial Unicode MS"/>
          <w:b/>
          <w:sz w:val="30"/>
          <w:szCs w:val="30"/>
          <w:u w:val="single"/>
        </w:rPr>
        <w:t>Matsebula</w:t>
      </w:r>
      <w:proofErr w:type="spellEnd"/>
      <w:r w:rsidR="00223FAE" w:rsidRPr="00232836">
        <w:rPr>
          <w:rFonts w:eastAsia="Arial Unicode MS"/>
          <w:b/>
          <w:sz w:val="30"/>
          <w:szCs w:val="30"/>
          <w:u w:val="single"/>
        </w:rPr>
        <w:t xml:space="preserve"> and Another v </w:t>
      </w:r>
      <w:proofErr w:type="spellStart"/>
      <w:r w:rsidR="00223FAE" w:rsidRPr="00232836">
        <w:rPr>
          <w:rFonts w:eastAsia="Arial Unicode MS"/>
          <w:b/>
          <w:sz w:val="30"/>
          <w:szCs w:val="30"/>
          <w:u w:val="single"/>
        </w:rPr>
        <w:t>Cebsile</w:t>
      </w:r>
      <w:proofErr w:type="spellEnd"/>
      <w:r w:rsidR="00223FAE" w:rsidRPr="00232836">
        <w:rPr>
          <w:rFonts w:eastAsia="Arial Unicode MS"/>
          <w:b/>
          <w:sz w:val="30"/>
          <w:szCs w:val="30"/>
          <w:u w:val="single"/>
        </w:rPr>
        <w:t xml:space="preserve"> </w:t>
      </w:r>
      <w:proofErr w:type="spellStart"/>
      <w:r w:rsidR="00223FAE" w:rsidRPr="00232836">
        <w:rPr>
          <w:rFonts w:eastAsia="Arial Unicode MS"/>
          <w:b/>
          <w:sz w:val="30"/>
          <w:szCs w:val="30"/>
          <w:u w:val="single"/>
        </w:rPr>
        <w:t>Matsebula</w:t>
      </w:r>
      <w:proofErr w:type="spellEnd"/>
      <w:r w:rsidR="00223FAE" w:rsidRPr="00232836">
        <w:rPr>
          <w:rFonts w:eastAsia="Arial Unicode MS"/>
          <w:b/>
          <w:sz w:val="30"/>
          <w:szCs w:val="30"/>
          <w:u w:val="single"/>
        </w:rPr>
        <w:t xml:space="preserve"> (born </w:t>
      </w:r>
      <w:proofErr w:type="spellStart"/>
      <w:r w:rsidR="00223FAE" w:rsidRPr="00232836">
        <w:rPr>
          <w:rFonts w:eastAsia="Arial Unicode MS"/>
          <w:b/>
          <w:sz w:val="30"/>
          <w:szCs w:val="30"/>
          <w:u w:val="single"/>
        </w:rPr>
        <w:t>Hlophe</w:t>
      </w:r>
      <w:proofErr w:type="spellEnd"/>
      <w:r w:rsidR="00223FAE" w:rsidRPr="00232836">
        <w:rPr>
          <w:rFonts w:eastAsia="Arial Unicode MS"/>
          <w:b/>
          <w:sz w:val="30"/>
          <w:szCs w:val="30"/>
          <w:u w:val="single"/>
        </w:rPr>
        <w:t>), Case No. 21/2011</w:t>
      </w:r>
      <w:r w:rsidR="00223FAE" w:rsidRPr="00232836">
        <w:rPr>
          <w:rFonts w:eastAsia="Arial Unicode MS"/>
          <w:sz w:val="30"/>
          <w:szCs w:val="30"/>
        </w:rPr>
        <w:t xml:space="preserve">.  </w:t>
      </w:r>
      <w:r w:rsidR="00C87EC6" w:rsidRPr="00232836">
        <w:rPr>
          <w:rFonts w:eastAsia="Arial Unicode MS"/>
          <w:sz w:val="30"/>
          <w:szCs w:val="30"/>
        </w:rPr>
        <w:t xml:space="preserve">It is indeed so that in terms of the Act all the estates of the deceased persons must be reported to the Master of the High Court who then issues letters of </w:t>
      </w:r>
      <w:r w:rsidR="00C87EC6" w:rsidRPr="00232836">
        <w:rPr>
          <w:rFonts w:eastAsia="Arial Unicode MS"/>
          <w:sz w:val="30"/>
          <w:szCs w:val="30"/>
        </w:rPr>
        <w:lastRenderedPageBreak/>
        <w:t>administration in terms of s 22.  It follows, then, that there can be no question of self-help in a matter such as this as the appellants seem to suggest.</w:t>
      </w:r>
    </w:p>
    <w:p w:rsidR="00971E10" w:rsidRDefault="00971E10" w:rsidP="00971E10">
      <w:pPr>
        <w:pStyle w:val="ListParagraph"/>
        <w:spacing w:line="480" w:lineRule="auto"/>
        <w:ind w:left="1800"/>
        <w:jc w:val="both"/>
        <w:rPr>
          <w:rFonts w:eastAsia="Arial Unicode MS"/>
          <w:sz w:val="30"/>
          <w:szCs w:val="30"/>
        </w:rPr>
      </w:pPr>
    </w:p>
    <w:p w:rsidR="00971E10" w:rsidRPr="00C87EC6" w:rsidRDefault="00971E10" w:rsidP="00C87EC6">
      <w:pPr>
        <w:pStyle w:val="ListParagraph"/>
        <w:numPr>
          <w:ilvl w:val="0"/>
          <w:numId w:val="7"/>
        </w:numPr>
        <w:tabs>
          <w:tab w:val="left" w:pos="1440"/>
        </w:tabs>
        <w:spacing w:line="480" w:lineRule="auto"/>
        <w:ind w:hanging="720"/>
        <w:jc w:val="both"/>
        <w:rPr>
          <w:rFonts w:eastAsia="Arial Unicode MS"/>
          <w:sz w:val="30"/>
          <w:szCs w:val="30"/>
        </w:rPr>
      </w:pPr>
      <w:r w:rsidRPr="00C87EC6">
        <w:rPr>
          <w:rFonts w:eastAsia="Arial Unicode MS"/>
          <w:sz w:val="30"/>
          <w:szCs w:val="30"/>
        </w:rPr>
        <w:t xml:space="preserve">True to the notion that there is no </w:t>
      </w:r>
      <w:proofErr w:type="spellStart"/>
      <w:r w:rsidRPr="00C87EC6">
        <w:rPr>
          <w:rFonts w:eastAsia="Arial Unicode MS"/>
          <w:sz w:val="30"/>
          <w:szCs w:val="30"/>
        </w:rPr>
        <w:t>honour</w:t>
      </w:r>
      <w:proofErr w:type="spellEnd"/>
      <w:r w:rsidRPr="00C87EC6">
        <w:rPr>
          <w:rFonts w:eastAsia="Arial Unicode MS"/>
          <w:sz w:val="30"/>
          <w:szCs w:val="30"/>
        </w:rPr>
        <w:t xml:space="preserve"> amongst thieves, it is further alleged in Walter Phillip Bennett’s founding affidavit that Ben Jacob </w:t>
      </w:r>
      <w:proofErr w:type="spellStart"/>
      <w:r w:rsidRPr="00C87EC6">
        <w:rPr>
          <w:rFonts w:eastAsia="Arial Unicode MS"/>
          <w:sz w:val="30"/>
          <w:szCs w:val="30"/>
        </w:rPr>
        <w:t>Vilane’s</w:t>
      </w:r>
      <w:proofErr w:type="spellEnd"/>
      <w:r w:rsidRPr="00C87EC6">
        <w:rPr>
          <w:rFonts w:eastAsia="Arial Unicode MS"/>
          <w:sz w:val="30"/>
          <w:szCs w:val="30"/>
        </w:rPr>
        <w:t xml:space="preserve"> younger brother, one Anthony </w:t>
      </w:r>
      <w:proofErr w:type="spellStart"/>
      <w:r w:rsidRPr="00C87EC6">
        <w:rPr>
          <w:rFonts w:eastAsia="Arial Unicode MS"/>
          <w:sz w:val="30"/>
          <w:szCs w:val="30"/>
        </w:rPr>
        <w:t>Tinyo</w:t>
      </w:r>
      <w:proofErr w:type="spellEnd"/>
      <w:r w:rsidRPr="00C87EC6">
        <w:rPr>
          <w:rFonts w:eastAsia="Arial Unicode MS"/>
          <w:sz w:val="30"/>
          <w:szCs w:val="30"/>
        </w:rPr>
        <w:t xml:space="preserve"> </w:t>
      </w:r>
      <w:proofErr w:type="spellStart"/>
      <w:r w:rsidRPr="00C87EC6">
        <w:rPr>
          <w:rFonts w:eastAsia="Arial Unicode MS"/>
          <w:sz w:val="30"/>
          <w:szCs w:val="30"/>
        </w:rPr>
        <w:t>Vilane</w:t>
      </w:r>
      <w:proofErr w:type="spellEnd"/>
      <w:r w:rsidRPr="00C87EC6">
        <w:rPr>
          <w:rFonts w:eastAsia="Arial Unicode MS"/>
          <w:sz w:val="30"/>
          <w:szCs w:val="30"/>
        </w:rPr>
        <w:t>, subsequently fraudulently transferred the properties from his brother into his own name.  The latter, however, obtained a court order which transferred the property back to him.</w:t>
      </w:r>
    </w:p>
    <w:p w:rsidR="005604E5" w:rsidRDefault="005604E5" w:rsidP="005604E5">
      <w:pPr>
        <w:pStyle w:val="ListParagraph"/>
        <w:rPr>
          <w:rFonts w:eastAsia="Arial Unicode MS"/>
          <w:sz w:val="30"/>
          <w:szCs w:val="30"/>
        </w:rPr>
      </w:pPr>
    </w:p>
    <w:p w:rsidR="00232836" w:rsidRDefault="00232836" w:rsidP="005604E5">
      <w:pPr>
        <w:pStyle w:val="ListParagraph"/>
        <w:rPr>
          <w:rFonts w:eastAsia="Arial Unicode MS"/>
          <w:sz w:val="30"/>
          <w:szCs w:val="30"/>
        </w:rPr>
      </w:pPr>
    </w:p>
    <w:p w:rsidR="00DB068A" w:rsidRPr="00C87EC6" w:rsidRDefault="002904D0" w:rsidP="00C87EC6">
      <w:pPr>
        <w:pStyle w:val="ListParagraph"/>
        <w:numPr>
          <w:ilvl w:val="0"/>
          <w:numId w:val="7"/>
        </w:numPr>
        <w:spacing w:line="480" w:lineRule="auto"/>
        <w:ind w:hanging="720"/>
        <w:jc w:val="both"/>
        <w:rPr>
          <w:rFonts w:eastAsia="Arial Unicode MS"/>
          <w:sz w:val="30"/>
          <w:szCs w:val="30"/>
        </w:rPr>
      </w:pPr>
      <w:r w:rsidRPr="00C87EC6">
        <w:rPr>
          <w:rFonts w:eastAsia="Arial Unicode MS"/>
          <w:sz w:val="30"/>
          <w:szCs w:val="30"/>
        </w:rPr>
        <w:t xml:space="preserve">Walter Phillip Bennett is unchallenged in paragraph 19 of his founding affidavit to the effect that upon the </w:t>
      </w:r>
      <w:proofErr w:type="spellStart"/>
      <w:r w:rsidR="00DB068A" w:rsidRPr="00C87EC6">
        <w:rPr>
          <w:rFonts w:eastAsia="Arial Unicode MS"/>
          <w:sz w:val="30"/>
          <w:szCs w:val="30"/>
        </w:rPr>
        <w:t>reali</w:t>
      </w:r>
      <w:r w:rsidR="00232836">
        <w:rPr>
          <w:rFonts w:eastAsia="Arial Unicode MS"/>
          <w:sz w:val="30"/>
          <w:szCs w:val="30"/>
        </w:rPr>
        <w:t>s</w:t>
      </w:r>
      <w:r w:rsidR="00DB068A" w:rsidRPr="00C87EC6">
        <w:rPr>
          <w:rFonts w:eastAsia="Arial Unicode MS"/>
          <w:sz w:val="30"/>
          <w:szCs w:val="30"/>
        </w:rPr>
        <w:t>ation</w:t>
      </w:r>
      <w:proofErr w:type="spellEnd"/>
      <w:r w:rsidR="00DB068A" w:rsidRPr="00C87EC6">
        <w:rPr>
          <w:rFonts w:eastAsia="Arial Unicode MS"/>
          <w:sz w:val="30"/>
          <w:szCs w:val="30"/>
        </w:rPr>
        <w:t xml:space="preserve"> of the various fraudulent activities committed against the deceased’s estate, the Master of the High Court appointed </w:t>
      </w:r>
      <w:proofErr w:type="spellStart"/>
      <w:r w:rsidR="00DB068A" w:rsidRPr="00C87EC6">
        <w:rPr>
          <w:rFonts w:eastAsia="Arial Unicode MS"/>
          <w:sz w:val="30"/>
          <w:szCs w:val="30"/>
        </w:rPr>
        <w:t>Siboniso</w:t>
      </w:r>
      <w:proofErr w:type="spellEnd"/>
      <w:r w:rsidR="00DB068A" w:rsidRPr="00C87EC6">
        <w:rPr>
          <w:rFonts w:eastAsia="Arial Unicode MS"/>
          <w:sz w:val="30"/>
          <w:szCs w:val="30"/>
        </w:rPr>
        <w:t xml:space="preserve"> C. </w:t>
      </w:r>
      <w:proofErr w:type="spellStart"/>
      <w:r w:rsidR="00DB068A" w:rsidRPr="00C87EC6">
        <w:rPr>
          <w:rFonts w:eastAsia="Arial Unicode MS"/>
          <w:sz w:val="30"/>
          <w:szCs w:val="30"/>
        </w:rPr>
        <w:t>Dlamini</w:t>
      </w:r>
      <w:proofErr w:type="spellEnd"/>
      <w:r w:rsidR="00DB068A" w:rsidRPr="00C87EC6">
        <w:rPr>
          <w:rFonts w:eastAsia="Arial Unicode MS"/>
          <w:sz w:val="30"/>
          <w:szCs w:val="30"/>
        </w:rPr>
        <w:t xml:space="preserve"> as the Executor of the deceased’s estate as indicated above.  This was done by way of a court order dated 2 June 1993, which </w:t>
      </w:r>
      <w:proofErr w:type="spellStart"/>
      <w:r w:rsidR="00DB068A" w:rsidRPr="00C87EC6">
        <w:rPr>
          <w:rFonts w:eastAsia="Arial Unicode MS"/>
          <w:sz w:val="30"/>
          <w:szCs w:val="30"/>
        </w:rPr>
        <w:t>superceded</w:t>
      </w:r>
      <w:proofErr w:type="spellEnd"/>
      <w:r w:rsidR="00DB068A" w:rsidRPr="00C87EC6">
        <w:rPr>
          <w:rFonts w:eastAsia="Arial Unicode MS"/>
          <w:sz w:val="30"/>
          <w:szCs w:val="30"/>
        </w:rPr>
        <w:t xml:space="preserve"> the previous one in </w:t>
      </w:r>
      <w:proofErr w:type="spellStart"/>
      <w:r w:rsidR="00DB068A" w:rsidRPr="00C87EC6">
        <w:rPr>
          <w:rFonts w:eastAsia="Arial Unicode MS"/>
          <w:sz w:val="30"/>
          <w:szCs w:val="30"/>
        </w:rPr>
        <w:t>favour</w:t>
      </w:r>
      <w:proofErr w:type="spellEnd"/>
      <w:r w:rsidR="00DB068A" w:rsidRPr="00C87EC6">
        <w:rPr>
          <w:rFonts w:eastAsia="Arial Unicode MS"/>
          <w:sz w:val="30"/>
          <w:szCs w:val="30"/>
        </w:rPr>
        <w:t xml:space="preserve"> of Ben Jacob </w:t>
      </w:r>
      <w:proofErr w:type="spellStart"/>
      <w:r w:rsidR="00DB068A" w:rsidRPr="00C87EC6">
        <w:rPr>
          <w:rFonts w:eastAsia="Arial Unicode MS"/>
          <w:sz w:val="30"/>
          <w:szCs w:val="30"/>
        </w:rPr>
        <w:t>Vilane</w:t>
      </w:r>
      <w:proofErr w:type="spellEnd"/>
      <w:r w:rsidR="00DB068A" w:rsidRPr="00C87EC6">
        <w:rPr>
          <w:rFonts w:eastAsia="Arial Unicode MS"/>
          <w:sz w:val="30"/>
          <w:szCs w:val="30"/>
        </w:rPr>
        <w:t>.</w:t>
      </w:r>
    </w:p>
    <w:p w:rsidR="00DB068A" w:rsidRPr="00DB068A" w:rsidRDefault="00DB068A" w:rsidP="00DB068A">
      <w:pPr>
        <w:pStyle w:val="ListParagraph"/>
        <w:rPr>
          <w:rFonts w:eastAsia="Arial Unicode MS"/>
          <w:sz w:val="30"/>
          <w:szCs w:val="30"/>
        </w:rPr>
      </w:pPr>
    </w:p>
    <w:p w:rsidR="00C41370" w:rsidRDefault="00DB068A" w:rsidP="00310BEE">
      <w:pPr>
        <w:pStyle w:val="ListParagraph"/>
        <w:numPr>
          <w:ilvl w:val="0"/>
          <w:numId w:val="7"/>
        </w:numPr>
        <w:spacing w:line="480" w:lineRule="auto"/>
        <w:ind w:hanging="720"/>
        <w:jc w:val="both"/>
        <w:rPr>
          <w:rFonts w:eastAsia="Arial Unicode MS"/>
          <w:sz w:val="30"/>
          <w:szCs w:val="30"/>
        </w:rPr>
      </w:pPr>
      <w:r w:rsidRPr="00310BEE">
        <w:rPr>
          <w:rFonts w:eastAsia="Arial Unicode MS"/>
          <w:sz w:val="30"/>
          <w:szCs w:val="30"/>
        </w:rPr>
        <w:t xml:space="preserve">Finally, Walter Phillip Bennett averred in his founding affidavit that the first and second appellants subsequently attempted to fraudulently transfer the property in question to the third appellant.  </w:t>
      </w:r>
    </w:p>
    <w:p w:rsidR="00310BEE" w:rsidRPr="00310BEE" w:rsidRDefault="00310BEE" w:rsidP="00310BEE">
      <w:pPr>
        <w:pStyle w:val="ListParagraph"/>
        <w:rPr>
          <w:rFonts w:eastAsia="Arial Unicode MS"/>
          <w:sz w:val="30"/>
          <w:szCs w:val="30"/>
        </w:rPr>
      </w:pPr>
    </w:p>
    <w:p w:rsidR="00DB068A" w:rsidRPr="00C41370" w:rsidRDefault="00DB068A" w:rsidP="00C41370">
      <w:pPr>
        <w:rPr>
          <w:rFonts w:eastAsia="Arial Unicode MS"/>
          <w:sz w:val="30"/>
          <w:szCs w:val="30"/>
        </w:rPr>
      </w:pPr>
    </w:p>
    <w:p w:rsidR="003F46AC" w:rsidRPr="00F41100" w:rsidRDefault="00F41100" w:rsidP="00F41100">
      <w:pPr>
        <w:spacing w:line="480" w:lineRule="auto"/>
        <w:ind w:left="630" w:hanging="630"/>
        <w:jc w:val="both"/>
        <w:rPr>
          <w:rFonts w:eastAsia="Arial Unicode MS"/>
          <w:sz w:val="30"/>
          <w:szCs w:val="30"/>
        </w:rPr>
      </w:pPr>
      <w:r>
        <w:rPr>
          <w:rFonts w:eastAsia="Arial Unicode MS"/>
          <w:sz w:val="30"/>
          <w:szCs w:val="30"/>
        </w:rPr>
        <w:t>[4]</w:t>
      </w:r>
      <w:r>
        <w:rPr>
          <w:rFonts w:eastAsia="Arial Unicode MS"/>
          <w:sz w:val="30"/>
          <w:szCs w:val="30"/>
        </w:rPr>
        <w:tab/>
      </w:r>
      <w:r w:rsidR="003F46AC" w:rsidRPr="00F41100">
        <w:rPr>
          <w:rFonts w:eastAsia="Arial Unicode MS"/>
          <w:sz w:val="30"/>
          <w:szCs w:val="30"/>
        </w:rPr>
        <w:t xml:space="preserve">It is undoubtedly opportune at this stage to make this pertinent observation.  </w:t>
      </w:r>
      <w:r w:rsidR="00310BEE">
        <w:rPr>
          <w:rFonts w:eastAsia="Arial Unicode MS"/>
          <w:sz w:val="30"/>
          <w:szCs w:val="30"/>
        </w:rPr>
        <w:t>This is that i</w:t>
      </w:r>
      <w:r w:rsidR="003F46AC" w:rsidRPr="00F41100">
        <w:rPr>
          <w:rFonts w:eastAsia="Arial Unicode MS"/>
          <w:sz w:val="30"/>
          <w:szCs w:val="30"/>
        </w:rPr>
        <w:t>t is a strange feature of this case that the appellants, who were respondents</w:t>
      </w:r>
      <w:r w:rsidR="00310BEE">
        <w:rPr>
          <w:rFonts w:eastAsia="Arial Unicode MS"/>
          <w:sz w:val="30"/>
          <w:szCs w:val="30"/>
        </w:rPr>
        <w:t xml:space="preserve"> in the court below</w:t>
      </w:r>
      <w:r w:rsidR="003F46AC" w:rsidRPr="00F41100">
        <w:rPr>
          <w:rFonts w:eastAsia="Arial Unicode MS"/>
          <w:sz w:val="30"/>
          <w:szCs w:val="30"/>
        </w:rPr>
        <w:t>, failed to file any answering affidavits.  This, in the face of an avalanche of accusations of several acts of fraud as fully set out above</w:t>
      </w:r>
      <w:r w:rsidR="00B47B15">
        <w:rPr>
          <w:rFonts w:eastAsia="Arial Unicode MS"/>
          <w:sz w:val="30"/>
          <w:szCs w:val="30"/>
        </w:rPr>
        <w:t xml:space="preserve">.  </w:t>
      </w:r>
      <w:r w:rsidR="003F46AC" w:rsidRPr="00F41100">
        <w:rPr>
          <w:rFonts w:eastAsia="Arial Unicode MS"/>
          <w:sz w:val="30"/>
          <w:szCs w:val="30"/>
        </w:rPr>
        <w:t>In my view, they have got only themselves to blame for the result that follows hereunder.</w:t>
      </w:r>
    </w:p>
    <w:p w:rsidR="00F41100" w:rsidRDefault="00F41100" w:rsidP="00F41100">
      <w:pPr>
        <w:spacing w:line="480" w:lineRule="auto"/>
        <w:jc w:val="both"/>
        <w:rPr>
          <w:rFonts w:eastAsia="Arial Unicode MS"/>
          <w:sz w:val="30"/>
          <w:szCs w:val="30"/>
        </w:rPr>
      </w:pPr>
    </w:p>
    <w:p w:rsidR="003F46AC" w:rsidRPr="00F41100" w:rsidRDefault="00F41100" w:rsidP="006F5E4F">
      <w:pPr>
        <w:spacing w:line="480" w:lineRule="auto"/>
        <w:ind w:left="540" w:hanging="540"/>
        <w:jc w:val="both"/>
        <w:rPr>
          <w:rFonts w:eastAsia="Arial Unicode MS"/>
          <w:sz w:val="30"/>
          <w:szCs w:val="30"/>
        </w:rPr>
      </w:pPr>
      <w:r>
        <w:rPr>
          <w:rFonts w:eastAsia="Arial Unicode MS"/>
          <w:sz w:val="30"/>
          <w:szCs w:val="30"/>
        </w:rPr>
        <w:t>[5]</w:t>
      </w:r>
      <w:r>
        <w:rPr>
          <w:rFonts w:eastAsia="Arial Unicode MS"/>
          <w:sz w:val="30"/>
          <w:szCs w:val="30"/>
        </w:rPr>
        <w:tab/>
      </w:r>
      <w:r w:rsidR="008E0D1B">
        <w:rPr>
          <w:rFonts w:eastAsia="Arial Unicode MS"/>
          <w:sz w:val="30"/>
          <w:szCs w:val="30"/>
        </w:rPr>
        <w:t>As I see it</w:t>
      </w:r>
      <w:r w:rsidR="003F46AC" w:rsidRPr="00F41100">
        <w:rPr>
          <w:rFonts w:eastAsia="Arial Unicode MS"/>
          <w:sz w:val="30"/>
          <w:szCs w:val="30"/>
        </w:rPr>
        <w:t>, the appellants’ naivety may be gleaned from their second ground of appeal in which they make the following point:-</w:t>
      </w:r>
    </w:p>
    <w:p w:rsidR="003F46AC" w:rsidRPr="003F46AC" w:rsidRDefault="003F46AC" w:rsidP="003F46AC">
      <w:pPr>
        <w:pStyle w:val="ListParagraph"/>
        <w:rPr>
          <w:rFonts w:eastAsia="Arial Unicode MS"/>
          <w:sz w:val="30"/>
          <w:szCs w:val="30"/>
        </w:rPr>
      </w:pPr>
    </w:p>
    <w:p w:rsidR="00F41100" w:rsidRPr="008745C0" w:rsidRDefault="003F46AC" w:rsidP="008745C0">
      <w:pPr>
        <w:pStyle w:val="ListParagraph"/>
        <w:spacing w:line="360" w:lineRule="auto"/>
        <w:ind w:left="2160"/>
        <w:jc w:val="both"/>
        <w:rPr>
          <w:rFonts w:eastAsia="Arial Unicode MS"/>
          <w:i/>
          <w:sz w:val="30"/>
          <w:szCs w:val="30"/>
        </w:rPr>
      </w:pPr>
      <w:r>
        <w:rPr>
          <w:rFonts w:eastAsia="Arial Unicode MS"/>
          <w:i/>
          <w:sz w:val="30"/>
          <w:szCs w:val="30"/>
        </w:rPr>
        <w:t>“(c) The learned judge erred in not finding that having issued a Rule 35 (20) [of the High Court</w:t>
      </w:r>
      <w:r w:rsidR="008E0D1B">
        <w:rPr>
          <w:rFonts w:eastAsia="Arial Unicode MS"/>
          <w:i/>
          <w:sz w:val="30"/>
          <w:szCs w:val="30"/>
        </w:rPr>
        <w:t xml:space="preserve"> Rules</w:t>
      </w:r>
      <w:r>
        <w:rPr>
          <w:rFonts w:eastAsia="Arial Unicode MS"/>
          <w:i/>
          <w:sz w:val="30"/>
          <w:szCs w:val="30"/>
        </w:rPr>
        <w:t xml:space="preserve">] there was no duty on the appellants to file answering papers, the respondent having not produced the documents as requested.” </w:t>
      </w:r>
    </w:p>
    <w:p w:rsidR="00C61B69" w:rsidRDefault="00F41100" w:rsidP="00C61B69">
      <w:pPr>
        <w:spacing w:line="480" w:lineRule="auto"/>
        <w:ind w:left="720" w:hanging="720"/>
        <w:jc w:val="both"/>
        <w:rPr>
          <w:rFonts w:eastAsia="Arial Unicode MS"/>
          <w:sz w:val="30"/>
          <w:szCs w:val="30"/>
        </w:rPr>
      </w:pPr>
      <w:r>
        <w:rPr>
          <w:rFonts w:eastAsia="Arial Unicode MS"/>
          <w:sz w:val="30"/>
          <w:szCs w:val="30"/>
        </w:rPr>
        <w:lastRenderedPageBreak/>
        <w:t>[6]</w:t>
      </w:r>
      <w:r>
        <w:rPr>
          <w:rFonts w:eastAsia="Arial Unicode MS"/>
          <w:sz w:val="30"/>
          <w:szCs w:val="30"/>
        </w:rPr>
        <w:tab/>
        <w:t>Indeed, the record shows that, instead of filing an answering affidavit</w:t>
      </w:r>
      <w:r w:rsidR="00C61B69">
        <w:rPr>
          <w:rFonts w:eastAsia="Arial Unicode MS"/>
          <w:sz w:val="30"/>
          <w:szCs w:val="30"/>
        </w:rPr>
        <w:t xml:space="preserve">, the appellants filed a Rule 35 (20) notice which is </w:t>
      </w:r>
      <w:r w:rsidR="00EE16C9">
        <w:rPr>
          <w:rFonts w:eastAsia="Arial Unicode MS"/>
          <w:sz w:val="30"/>
          <w:szCs w:val="30"/>
        </w:rPr>
        <w:t>o</w:t>
      </w:r>
      <w:r w:rsidR="00C61B69">
        <w:rPr>
          <w:rFonts w:eastAsia="Arial Unicode MS"/>
          <w:sz w:val="30"/>
          <w:szCs w:val="30"/>
        </w:rPr>
        <w:t>n discovery, inspection and production of documents</w:t>
      </w:r>
      <w:r w:rsidR="008E0D1B">
        <w:rPr>
          <w:rFonts w:eastAsia="Arial Unicode MS"/>
          <w:sz w:val="30"/>
          <w:szCs w:val="30"/>
        </w:rPr>
        <w:t xml:space="preserve"> and tape recordings</w:t>
      </w:r>
      <w:r w:rsidR="00C61B69">
        <w:rPr>
          <w:rFonts w:eastAsia="Arial Unicode MS"/>
          <w:sz w:val="30"/>
          <w:szCs w:val="30"/>
        </w:rPr>
        <w:t xml:space="preserve">.  The notice </w:t>
      </w:r>
      <w:r w:rsidR="008E0D1B">
        <w:rPr>
          <w:rFonts w:eastAsia="Arial Unicode MS"/>
          <w:sz w:val="30"/>
          <w:szCs w:val="30"/>
        </w:rPr>
        <w:t>p</w:t>
      </w:r>
      <w:r w:rsidR="00C61B69">
        <w:rPr>
          <w:rFonts w:eastAsia="Arial Unicode MS"/>
          <w:sz w:val="30"/>
          <w:szCs w:val="30"/>
        </w:rPr>
        <w:t>r</w:t>
      </w:r>
      <w:r w:rsidR="008E0D1B">
        <w:rPr>
          <w:rFonts w:eastAsia="Arial Unicode MS"/>
          <w:sz w:val="30"/>
          <w:szCs w:val="30"/>
        </w:rPr>
        <w:t>ovided</w:t>
      </w:r>
      <w:r w:rsidR="00C61B69">
        <w:rPr>
          <w:rFonts w:eastAsia="Arial Unicode MS"/>
          <w:sz w:val="30"/>
          <w:szCs w:val="30"/>
        </w:rPr>
        <w:t xml:space="preserve"> as follows:-</w:t>
      </w:r>
    </w:p>
    <w:p w:rsidR="00C61B69" w:rsidRDefault="00C61B69" w:rsidP="00320795">
      <w:pPr>
        <w:spacing w:line="360" w:lineRule="auto"/>
        <w:jc w:val="both"/>
        <w:rPr>
          <w:rFonts w:eastAsia="Arial Unicode MS"/>
          <w:sz w:val="30"/>
          <w:szCs w:val="30"/>
        </w:rPr>
      </w:pPr>
    </w:p>
    <w:p w:rsidR="005D11BA" w:rsidRDefault="00C61B69" w:rsidP="00320795">
      <w:pPr>
        <w:spacing w:line="360" w:lineRule="auto"/>
        <w:ind w:left="1440"/>
        <w:jc w:val="both"/>
        <w:rPr>
          <w:rFonts w:eastAsia="Arial Unicode MS"/>
          <w:i/>
          <w:sz w:val="30"/>
          <w:szCs w:val="30"/>
        </w:rPr>
      </w:pPr>
      <w:r>
        <w:rPr>
          <w:rFonts w:eastAsia="Arial Unicode MS"/>
          <w:i/>
          <w:sz w:val="30"/>
          <w:szCs w:val="30"/>
        </w:rPr>
        <w:t xml:space="preserve">“BE PLEASED </w:t>
      </w:r>
      <w:r w:rsidR="005D11BA">
        <w:rPr>
          <w:rFonts w:eastAsia="Arial Unicode MS"/>
          <w:i/>
          <w:sz w:val="30"/>
          <w:szCs w:val="30"/>
        </w:rPr>
        <w:t xml:space="preserve">TO </w:t>
      </w:r>
      <w:r w:rsidR="008E0D1B">
        <w:rPr>
          <w:rFonts w:eastAsia="Arial Unicode MS"/>
          <w:i/>
          <w:sz w:val="30"/>
          <w:szCs w:val="30"/>
        </w:rPr>
        <w:t xml:space="preserve">TAKE NOTICE </w:t>
      </w:r>
      <w:r w:rsidR="005D11BA">
        <w:rPr>
          <w:rFonts w:eastAsia="Arial Unicode MS"/>
          <w:i/>
          <w:sz w:val="30"/>
          <w:szCs w:val="30"/>
        </w:rPr>
        <w:t>THAT the 1</w:t>
      </w:r>
      <w:r w:rsidR="005D11BA" w:rsidRPr="005D11BA">
        <w:rPr>
          <w:rFonts w:eastAsia="Arial Unicode MS"/>
          <w:i/>
          <w:sz w:val="30"/>
          <w:szCs w:val="30"/>
          <w:vertAlign w:val="superscript"/>
        </w:rPr>
        <w:t>st</w:t>
      </w:r>
      <w:r w:rsidR="005D11BA">
        <w:rPr>
          <w:rFonts w:eastAsia="Arial Unicode MS"/>
          <w:i/>
          <w:sz w:val="30"/>
          <w:szCs w:val="30"/>
        </w:rPr>
        <w:t>, 2</w:t>
      </w:r>
      <w:r w:rsidR="005D11BA" w:rsidRPr="005D11BA">
        <w:rPr>
          <w:rFonts w:eastAsia="Arial Unicode MS"/>
          <w:i/>
          <w:sz w:val="30"/>
          <w:szCs w:val="30"/>
          <w:vertAlign w:val="superscript"/>
        </w:rPr>
        <w:t>nd</w:t>
      </w:r>
      <w:r w:rsidR="005D11BA">
        <w:rPr>
          <w:rFonts w:eastAsia="Arial Unicode MS"/>
          <w:i/>
          <w:sz w:val="30"/>
          <w:szCs w:val="30"/>
        </w:rPr>
        <w:t xml:space="preserve"> and 3</w:t>
      </w:r>
      <w:r w:rsidR="005D11BA" w:rsidRPr="005D11BA">
        <w:rPr>
          <w:rFonts w:eastAsia="Arial Unicode MS"/>
          <w:i/>
          <w:sz w:val="30"/>
          <w:szCs w:val="30"/>
          <w:vertAlign w:val="superscript"/>
        </w:rPr>
        <w:t>rd</w:t>
      </w:r>
      <w:r w:rsidR="005D11BA">
        <w:rPr>
          <w:rFonts w:eastAsia="Arial Unicode MS"/>
          <w:i/>
          <w:sz w:val="30"/>
          <w:szCs w:val="30"/>
        </w:rPr>
        <w:t xml:space="preserve"> respondents require the applicant to produce for their inspection the following documents referred to in the applicant’s founding affidavit:</w:t>
      </w:r>
    </w:p>
    <w:p w:rsidR="00C61B69" w:rsidRDefault="00C61B69" w:rsidP="00320795">
      <w:pPr>
        <w:spacing w:line="360" w:lineRule="auto"/>
        <w:jc w:val="both"/>
        <w:rPr>
          <w:rFonts w:eastAsia="Arial Unicode MS"/>
          <w:i/>
          <w:sz w:val="30"/>
          <w:szCs w:val="30"/>
        </w:rPr>
      </w:pPr>
    </w:p>
    <w:p w:rsidR="00C61B69" w:rsidRPr="00A32B51" w:rsidRDefault="00C61B69" w:rsidP="00320795">
      <w:pPr>
        <w:pStyle w:val="ListParagraph"/>
        <w:numPr>
          <w:ilvl w:val="0"/>
          <w:numId w:val="5"/>
        </w:numPr>
        <w:spacing w:line="360" w:lineRule="auto"/>
        <w:jc w:val="both"/>
        <w:rPr>
          <w:rFonts w:eastAsia="Arial Unicode MS"/>
          <w:i/>
          <w:sz w:val="30"/>
          <w:szCs w:val="30"/>
        </w:rPr>
      </w:pPr>
      <w:r w:rsidRPr="00A32B51">
        <w:rPr>
          <w:rFonts w:eastAsia="Arial Unicode MS"/>
          <w:i/>
          <w:sz w:val="30"/>
          <w:szCs w:val="30"/>
        </w:rPr>
        <w:t xml:space="preserve"> </w:t>
      </w:r>
      <w:proofErr w:type="gramStart"/>
      <w:r w:rsidR="00A32B51" w:rsidRPr="00A32B51">
        <w:rPr>
          <w:rFonts w:eastAsia="Arial Unicode MS"/>
          <w:i/>
          <w:sz w:val="30"/>
          <w:szCs w:val="30"/>
        </w:rPr>
        <w:t>t</w:t>
      </w:r>
      <w:r w:rsidRPr="00A32B51">
        <w:rPr>
          <w:rFonts w:eastAsia="Arial Unicode MS"/>
          <w:i/>
          <w:sz w:val="30"/>
          <w:szCs w:val="30"/>
        </w:rPr>
        <w:t>he</w:t>
      </w:r>
      <w:proofErr w:type="gramEnd"/>
      <w:r w:rsidRPr="00A32B51">
        <w:rPr>
          <w:rFonts w:eastAsia="Arial Unicode MS"/>
          <w:i/>
          <w:sz w:val="30"/>
          <w:szCs w:val="30"/>
        </w:rPr>
        <w:t xml:space="preserve"> </w:t>
      </w:r>
      <w:r w:rsidR="00A32B51">
        <w:rPr>
          <w:rFonts w:eastAsia="Arial Unicode MS"/>
          <w:i/>
          <w:sz w:val="30"/>
          <w:szCs w:val="30"/>
        </w:rPr>
        <w:t>O</w:t>
      </w:r>
      <w:r w:rsidRPr="00A32B51">
        <w:rPr>
          <w:rFonts w:eastAsia="Arial Unicode MS"/>
          <w:i/>
          <w:sz w:val="30"/>
          <w:szCs w:val="30"/>
        </w:rPr>
        <w:t>rder</w:t>
      </w:r>
      <w:r w:rsidR="00A32B51">
        <w:rPr>
          <w:rFonts w:eastAsia="Arial Unicode MS"/>
          <w:i/>
          <w:sz w:val="30"/>
          <w:szCs w:val="30"/>
        </w:rPr>
        <w:t xml:space="preserve"> of Court of the 2</w:t>
      </w:r>
      <w:r w:rsidR="00A32B51" w:rsidRPr="00A32B51">
        <w:rPr>
          <w:rFonts w:eastAsia="Arial Unicode MS"/>
          <w:i/>
          <w:sz w:val="30"/>
          <w:szCs w:val="30"/>
          <w:vertAlign w:val="superscript"/>
        </w:rPr>
        <w:t>nd</w:t>
      </w:r>
      <w:r w:rsidR="00A32B51">
        <w:rPr>
          <w:rFonts w:eastAsia="Arial Unicode MS"/>
          <w:i/>
          <w:sz w:val="30"/>
          <w:szCs w:val="30"/>
        </w:rPr>
        <w:t xml:space="preserve"> June,</w:t>
      </w:r>
      <w:r w:rsidRPr="00A32B51">
        <w:rPr>
          <w:rFonts w:eastAsia="Arial Unicode MS"/>
          <w:i/>
          <w:sz w:val="30"/>
          <w:szCs w:val="30"/>
        </w:rPr>
        <w:t>1993</w:t>
      </w:r>
      <w:r w:rsidR="008E0D1B">
        <w:rPr>
          <w:rFonts w:eastAsia="Arial Unicode MS"/>
          <w:i/>
          <w:sz w:val="30"/>
          <w:szCs w:val="30"/>
        </w:rPr>
        <w:t>.</w:t>
      </w:r>
    </w:p>
    <w:p w:rsidR="00C61B69" w:rsidRPr="00A32B51" w:rsidRDefault="00A32B51" w:rsidP="00320795">
      <w:pPr>
        <w:pStyle w:val="ListParagraph"/>
        <w:numPr>
          <w:ilvl w:val="0"/>
          <w:numId w:val="5"/>
        </w:numPr>
        <w:spacing w:line="360" w:lineRule="auto"/>
        <w:jc w:val="both"/>
        <w:rPr>
          <w:rFonts w:eastAsia="Arial Unicode MS"/>
          <w:i/>
          <w:sz w:val="30"/>
          <w:szCs w:val="30"/>
        </w:rPr>
      </w:pPr>
      <w:proofErr w:type="gramStart"/>
      <w:r>
        <w:rPr>
          <w:rFonts w:eastAsia="Arial Unicode MS"/>
          <w:i/>
          <w:sz w:val="30"/>
          <w:szCs w:val="30"/>
        </w:rPr>
        <w:t>t</w:t>
      </w:r>
      <w:r w:rsidR="00C61B69" w:rsidRPr="00A32B51">
        <w:rPr>
          <w:rFonts w:eastAsia="Arial Unicode MS"/>
          <w:i/>
          <w:sz w:val="30"/>
          <w:szCs w:val="30"/>
        </w:rPr>
        <w:t>he</w:t>
      </w:r>
      <w:proofErr w:type="gramEnd"/>
      <w:r w:rsidR="00C61B69" w:rsidRPr="00A32B51">
        <w:rPr>
          <w:rFonts w:eastAsia="Arial Unicode MS"/>
          <w:i/>
          <w:sz w:val="30"/>
          <w:szCs w:val="30"/>
        </w:rPr>
        <w:t xml:space="preserve"> pleadings</w:t>
      </w:r>
      <w:r>
        <w:rPr>
          <w:rFonts w:eastAsia="Arial Unicode MS"/>
          <w:i/>
          <w:sz w:val="30"/>
          <w:szCs w:val="30"/>
        </w:rPr>
        <w:t>/affidavits underlying such O</w:t>
      </w:r>
      <w:r w:rsidR="00C61B69" w:rsidRPr="00A32B51">
        <w:rPr>
          <w:rFonts w:eastAsia="Arial Unicode MS"/>
          <w:i/>
          <w:sz w:val="30"/>
          <w:szCs w:val="30"/>
        </w:rPr>
        <w:t>rder</w:t>
      </w:r>
      <w:r>
        <w:rPr>
          <w:rFonts w:eastAsia="Arial Unicode MS"/>
          <w:i/>
          <w:sz w:val="30"/>
          <w:szCs w:val="30"/>
        </w:rPr>
        <w:t>.</w:t>
      </w:r>
      <w:r w:rsidR="00C61B69" w:rsidRPr="00A32B51">
        <w:rPr>
          <w:rFonts w:eastAsia="Arial Unicode MS"/>
          <w:i/>
          <w:sz w:val="30"/>
          <w:szCs w:val="30"/>
        </w:rPr>
        <w:t>”</w:t>
      </w:r>
    </w:p>
    <w:p w:rsidR="00C61B69" w:rsidRDefault="00C61B69" w:rsidP="00C61B69">
      <w:pPr>
        <w:spacing w:line="480" w:lineRule="auto"/>
        <w:jc w:val="both"/>
        <w:rPr>
          <w:rFonts w:eastAsia="Arial Unicode MS"/>
          <w:sz w:val="30"/>
          <w:szCs w:val="30"/>
        </w:rPr>
      </w:pPr>
    </w:p>
    <w:p w:rsidR="000A112A" w:rsidRDefault="00C61B69" w:rsidP="00320795">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r>
      <w:r w:rsidR="008E0D1B">
        <w:rPr>
          <w:rFonts w:eastAsia="Arial Unicode MS"/>
          <w:sz w:val="30"/>
          <w:szCs w:val="30"/>
        </w:rPr>
        <w:t>Now, t</w:t>
      </w:r>
      <w:r>
        <w:rPr>
          <w:rFonts w:eastAsia="Arial Unicode MS"/>
          <w:sz w:val="30"/>
          <w:szCs w:val="30"/>
        </w:rPr>
        <w:t xml:space="preserve">he sanction for failing to comply with Rule 35 (20) notice </w:t>
      </w:r>
      <w:r w:rsidR="008E0D1B">
        <w:rPr>
          <w:rFonts w:eastAsia="Arial Unicode MS"/>
          <w:sz w:val="30"/>
          <w:szCs w:val="30"/>
        </w:rPr>
        <w:t>is</w:t>
      </w:r>
      <w:r>
        <w:rPr>
          <w:rFonts w:eastAsia="Arial Unicode MS"/>
          <w:sz w:val="30"/>
          <w:szCs w:val="30"/>
        </w:rPr>
        <w:t xml:space="preserve"> contained</w:t>
      </w:r>
      <w:r w:rsidR="0096301D">
        <w:rPr>
          <w:rFonts w:eastAsia="Arial Unicode MS"/>
          <w:sz w:val="30"/>
          <w:szCs w:val="30"/>
        </w:rPr>
        <w:t xml:space="preserve"> in Rule 35 (21).  It is simply to the effect that a defaulting party shall not, save with the leave of the court, </w:t>
      </w:r>
      <w:proofErr w:type="gramStart"/>
      <w:r w:rsidR="0096301D">
        <w:rPr>
          <w:rFonts w:eastAsia="Arial Unicode MS"/>
          <w:sz w:val="30"/>
          <w:szCs w:val="30"/>
        </w:rPr>
        <w:t>use</w:t>
      </w:r>
      <w:proofErr w:type="gramEnd"/>
      <w:r w:rsidR="0096301D">
        <w:rPr>
          <w:rFonts w:eastAsia="Arial Unicode MS"/>
          <w:sz w:val="30"/>
          <w:szCs w:val="30"/>
        </w:rPr>
        <w:t xml:space="preserve"> such document </w:t>
      </w:r>
      <w:r w:rsidR="008E0D1B">
        <w:rPr>
          <w:rFonts w:eastAsia="Arial Unicode MS"/>
          <w:sz w:val="30"/>
          <w:szCs w:val="30"/>
        </w:rPr>
        <w:t xml:space="preserve">or tape recording </w:t>
      </w:r>
      <w:r w:rsidR="0096301D">
        <w:rPr>
          <w:rFonts w:eastAsia="Arial Unicode MS"/>
          <w:sz w:val="30"/>
          <w:szCs w:val="30"/>
        </w:rPr>
        <w:t xml:space="preserve">in the proceedings.  However, the other party may use </w:t>
      </w:r>
      <w:r w:rsidR="008E0D1B">
        <w:rPr>
          <w:rFonts w:eastAsia="Arial Unicode MS"/>
          <w:sz w:val="30"/>
          <w:szCs w:val="30"/>
        </w:rPr>
        <w:t xml:space="preserve">the </w:t>
      </w:r>
      <w:r w:rsidR="0096301D">
        <w:rPr>
          <w:rFonts w:eastAsia="Arial Unicode MS"/>
          <w:sz w:val="30"/>
          <w:szCs w:val="30"/>
        </w:rPr>
        <w:t>document</w:t>
      </w:r>
      <w:r w:rsidR="008E0D1B">
        <w:rPr>
          <w:rFonts w:eastAsia="Arial Unicode MS"/>
          <w:sz w:val="30"/>
          <w:szCs w:val="30"/>
        </w:rPr>
        <w:t xml:space="preserve"> or tape recording</w:t>
      </w:r>
      <w:r w:rsidR="0096301D">
        <w:rPr>
          <w:rFonts w:eastAsia="Arial Unicode MS"/>
          <w:sz w:val="30"/>
          <w:szCs w:val="30"/>
        </w:rPr>
        <w:t>.  It follows, therefore, that Rule 35 (20) is not, by any stretch of the imagination, a substitut</w:t>
      </w:r>
      <w:r w:rsidR="000A112A">
        <w:rPr>
          <w:rFonts w:eastAsia="Arial Unicode MS"/>
          <w:sz w:val="30"/>
          <w:szCs w:val="30"/>
        </w:rPr>
        <w:t xml:space="preserve">e </w:t>
      </w:r>
      <w:r w:rsidR="008E0D1B">
        <w:rPr>
          <w:rFonts w:eastAsia="Arial Unicode MS"/>
          <w:sz w:val="30"/>
          <w:szCs w:val="30"/>
        </w:rPr>
        <w:t>f</w:t>
      </w:r>
      <w:r w:rsidR="000A112A">
        <w:rPr>
          <w:rFonts w:eastAsia="Arial Unicode MS"/>
          <w:sz w:val="30"/>
          <w:szCs w:val="30"/>
        </w:rPr>
        <w:t>o</w:t>
      </w:r>
      <w:r w:rsidR="008E0D1B">
        <w:rPr>
          <w:rFonts w:eastAsia="Arial Unicode MS"/>
          <w:sz w:val="30"/>
          <w:szCs w:val="30"/>
        </w:rPr>
        <w:t>r</w:t>
      </w:r>
      <w:r w:rsidR="000A112A">
        <w:rPr>
          <w:rFonts w:eastAsia="Arial Unicode MS"/>
          <w:sz w:val="30"/>
          <w:szCs w:val="30"/>
        </w:rPr>
        <w:t xml:space="preserve"> an answering affidavit.</w:t>
      </w:r>
      <w:r w:rsidR="00320795">
        <w:rPr>
          <w:rFonts w:eastAsia="Arial Unicode MS"/>
          <w:sz w:val="30"/>
          <w:szCs w:val="30"/>
        </w:rPr>
        <w:t xml:space="preserve">                       </w:t>
      </w:r>
    </w:p>
    <w:p w:rsidR="007A21A6" w:rsidRDefault="007A21A6" w:rsidP="007A21A6">
      <w:pPr>
        <w:spacing w:line="480" w:lineRule="auto"/>
        <w:ind w:left="720" w:hanging="720"/>
        <w:jc w:val="both"/>
        <w:rPr>
          <w:rFonts w:eastAsia="Arial Unicode MS"/>
          <w:sz w:val="30"/>
          <w:szCs w:val="30"/>
        </w:rPr>
      </w:pPr>
      <w:r>
        <w:rPr>
          <w:rFonts w:eastAsia="Arial Unicode MS"/>
          <w:sz w:val="30"/>
          <w:szCs w:val="30"/>
        </w:rPr>
        <w:lastRenderedPageBreak/>
        <w:t>[8]</w:t>
      </w:r>
      <w:r>
        <w:rPr>
          <w:rFonts w:eastAsia="Arial Unicode MS"/>
          <w:sz w:val="30"/>
          <w:szCs w:val="30"/>
        </w:rPr>
        <w:tab/>
        <w:t xml:space="preserve">In this Court </w:t>
      </w:r>
      <w:r>
        <w:rPr>
          <w:rFonts w:eastAsia="Arial Unicode MS"/>
          <w:sz w:val="30"/>
          <w:szCs w:val="30"/>
          <w:u w:val="single"/>
        </w:rPr>
        <w:t>Adv Flynn</w:t>
      </w:r>
      <w:r>
        <w:rPr>
          <w:rFonts w:eastAsia="Arial Unicode MS"/>
          <w:sz w:val="30"/>
          <w:szCs w:val="30"/>
        </w:rPr>
        <w:t xml:space="preserve"> for the appellants made heavy weather of the fact that they could not file answering affidavits before having sight of the order of June 199</w:t>
      </w:r>
      <w:r w:rsidR="00061726">
        <w:rPr>
          <w:rFonts w:eastAsia="Arial Unicode MS"/>
          <w:sz w:val="30"/>
          <w:szCs w:val="30"/>
        </w:rPr>
        <w:t>3</w:t>
      </w:r>
      <w:r>
        <w:rPr>
          <w:rFonts w:eastAsia="Arial Unicode MS"/>
          <w:sz w:val="30"/>
          <w:szCs w:val="30"/>
        </w:rPr>
        <w:t xml:space="preserve"> </w:t>
      </w:r>
      <w:r w:rsidR="00061726">
        <w:rPr>
          <w:rFonts w:eastAsia="Arial Unicode MS"/>
          <w:sz w:val="30"/>
          <w:szCs w:val="30"/>
        </w:rPr>
        <w:t xml:space="preserve">(or 1992 as it subsequently emerged) </w:t>
      </w:r>
      <w:r>
        <w:rPr>
          <w:rFonts w:eastAsia="Arial Unicode MS"/>
          <w:sz w:val="30"/>
          <w:szCs w:val="30"/>
        </w:rPr>
        <w:t xml:space="preserve">referred to in the founding affidavit as fully set out in paragraph [3] above.  Pressed </w:t>
      </w:r>
      <w:r w:rsidR="00061726">
        <w:rPr>
          <w:rFonts w:eastAsia="Arial Unicode MS"/>
          <w:sz w:val="30"/>
          <w:szCs w:val="30"/>
        </w:rPr>
        <w:t xml:space="preserve">by this Court </w:t>
      </w:r>
      <w:r>
        <w:rPr>
          <w:rFonts w:eastAsia="Arial Unicode MS"/>
          <w:sz w:val="30"/>
          <w:szCs w:val="30"/>
        </w:rPr>
        <w:t>on the soundness of such a proposition in the circumstances of this case, counsel switch</w:t>
      </w:r>
      <w:r w:rsidR="00061726">
        <w:rPr>
          <w:rFonts w:eastAsia="Arial Unicode MS"/>
          <w:sz w:val="30"/>
          <w:szCs w:val="30"/>
        </w:rPr>
        <w:t>ed</w:t>
      </w:r>
      <w:r>
        <w:rPr>
          <w:rFonts w:eastAsia="Arial Unicode MS"/>
          <w:sz w:val="30"/>
          <w:szCs w:val="30"/>
        </w:rPr>
        <w:t xml:space="preserve"> </w:t>
      </w:r>
      <w:proofErr w:type="gramStart"/>
      <w:r>
        <w:rPr>
          <w:rFonts w:eastAsia="Arial Unicode MS"/>
          <w:sz w:val="30"/>
          <w:szCs w:val="30"/>
        </w:rPr>
        <w:t>horses</w:t>
      </w:r>
      <w:proofErr w:type="gramEnd"/>
      <w:r>
        <w:rPr>
          <w:rFonts w:eastAsia="Arial Unicode MS"/>
          <w:sz w:val="30"/>
          <w:szCs w:val="30"/>
        </w:rPr>
        <w:t xml:space="preserve"> midstream.  He was heard to argue that the respondent’s own papers filed subsequently were full of contradictions and that the end result was that the respondent had failed to establish a clear right for the interdict sought.  Counsel’s submissions are, in my view, untenable for reasons that follow hereunder.</w:t>
      </w:r>
    </w:p>
    <w:p w:rsidR="007A21A6" w:rsidRDefault="007A21A6" w:rsidP="007A21A6">
      <w:pPr>
        <w:spacing w:line="480" w:lineRule="auto"/>
        <w:ind w:left="720" w:hanging="720"/>
        <w:jc w:val="both"/>
        <w:rPr>
          <w:rFonts w:eastAsia="Arial Unicode MS"/>
          <w:sz w:val="30"/>
          <w:szCs w:val="30"/>
        </w:rPr>
      </w:pPr>
    </w:p>
    <w:p w:rsidR="007A21A6" w:rsidRDefault="007A21A6" w:rsidP="00302851">
      <w:pPr>
        <w:pStyle w:val="ListParagraph"/>
        <w:numPr>
          <w:ilvl w:val="0"/>
          <w:numId w:val="6"/>
        </w:numPr>
        <w:spacing w:line="480" w:lineRule="auto"/>
        <w:ind w:left="1350" w:hanging="630"/>
        <w:jc w:val="both"/>
        <w:rPr>
          <w:rFonts w:eastAsia="Arial Unicode MS"/>
          <w:sz w:val="30"/>
          <w:szCs w:val="30"/>
        </w:rPr>
      </w:pPr>
      <w:r>
        <w:rPr>
          <w:rFonts w:eastAsia="Arial Unicode MS"/>
          <w:sz w:val="30"/>
          <w:szCs w:val="30"/>
        </w:rPr>
        <w:t xml:space="preserve"> The fact that the court order in question was not immediately forthcoming is not sufficient justification for the appellants’ failure to file answering affidavits.  In any event, they failed to put the respondent to terms on the point</w:t>
      </w:r>
      <w:r w:rsidR="00302851">
        <w:rPr>
          <w:rFonts w:eastAsia="Arial Unicode MS"/>
          <w:sz w:val="30"/>
          <w:szCs w:val="30"/>
        </w:rPr>
        <w:t xml:space="preserve">.   </w:t>
      </w:r>
      <w:r>
        <w:rPr>
          <w:rFonts w:eastAsia="Arial Unicode MS"/>
          <w:sz w:val="30"/>
          <w:szCs w:val="30"/>
        </w:rPr>
        <w:t xml:space="preserve">In this </w:t>
      </w:r>
      <w:r w:rsidR="001E2872">
        <w:rPr>
          <w:rFonts w:eastAsia="Arial Unicode MS"/>
          <w:sz w:val="30"/>
          <w:szCs w:val="30"/>
        </w:rPr>
        <w:t xml:space="preserve">regard it is important to observe that they only issued a Rule 35 (20) notice but failed to follow it up with </w:t>
      </w:r>
      <w:r w:rsidR="00302851">
        <w:rPr>
          <w:rFonts w:eastAsia="Arial Unicode MS"/>
          <w:sz w:val="30"/>
          <w:szCs w:val="30"/>
        </w:rPr>
        <w:t xml:space="preserve">a proper application </w:t>
      </w:r>
      <w:r w:rsidR="001E2872">
        <w:rPr>
          <w:rFonts w:eastAsia="Arial Unicode MS"/>
          <w:sz w:val="30"/>
          <w:szCs w:val="30"/>
        </w:rPr>
        <w:t>to compel discovery</w:t>
      </w:r>
      <w:r w:rsidR="00EE16C9">
        <w:rPr>
          <w:rFonts w:eastAsia="Arial Unicode MS"/>
          <w:sz w:val="30"/>
          <w:szCs w:val="30"/>
        </w:rPr>
        <w:t>.</w:t>
      </w:r>
      <w:r w:rsidR="00AC6A9A">
        <w:rPr>
          <w:rFonts w:eastAsia="Arial Unicode MS"/>
          <w:sz w:val="30"/>
          <w:szCs w:val="30"/>
        </w:rPr>
        <w:t xml:space="preserve"> </w:t>
      </w:r>
      <w:r w:rsidR="00EE16C9">
        <w:rPr>
          <w:rFonts w:eastAsia="Arial Unicode MS"/>
          <w:sz w:val="30"/>
          <w:szCs w:val="30"/>
        </w:rPr>
        <w:t xml:space="preserve"> </w:t>
      </w:r>
      <w:r w:rsidR="001E2872">
        <w:rPr>
          <w:rFonts w:eastAsia="Arial Unicode MS"/>
          <w:sz w:val="30"/>
          <w:szCs w:val="30"/>
        </w:rPr>
        <w:t xml:space="preserve">As stated in paragraph [7] above, it is clear, as it seems to me, that in </w:t>
      </w:r>
      <w:r w:rsidR="001E2872">
        <w:rPr>
          <w:rFonts w:eastAsia="Arial Unicode MS"/>
          <w:sz w:val="30"/>
          <w:szCs w:val="30"/>
        </w:rPr>
        <w:lastRenderedPageBreak/>
        <w:t>the absence of an application to compel discovery</w:t>
      </w:r>
      <w:r w:rsidR="00AC6A9A">
        <w:rPr>
          <w:rFonts w:eastAsia="Arial Unicode MS"/>
          <w:sz w:val="30"/>
          <w:szCs w:val="30"/>
        </w:rPr>
        <w:t>, followed by a court order in that regard</w:t>
      </w:r>
      <w:r w:rsidR="004351F2">
        <w:rPr>
          <w:rFonts w:eastAsia="Arial Unicode MS"/>
          <w:sz w:val="30"/>
          <w:szCs w:val="30"/>
        </w:rPr>
        <w:t>, the</w:t>
      </w:r>
      <w:r w:rsidR="001E2872">
        <w:rPr>
          <w:rFonts w:eastAsia="Arial Unicode MS"/>
          <w:sz w:val="30"/>
          <w:szCs w:val="30"/>
        </w:rPr>
        <w:t xml:space="preserve"> </w:t>
      </w:r>
      <w:r w:rsidR="004351F2">
        <w:rPr>
          <w:rFonts w:eastAsia="Arial Unicode MS"/>
          <w:sz w:val="30"/>
          <w:szCs w:val="30"/>
        </w:rPr>
        <w:t>appellants</w:t>
      </w:r>
      <w:r w:rsidR="001E2872">
        <w:rPr>
          <w:rFonts w:eastAsia="Arial Unicode MS"/>
          <w:sz w:val="30"/>
          <w:szCs w:val="30"/>
        </w:rPr>
        <w:t>’</w:t>
      </w:r>
      <w:r w:rsidR="004351F2">
        <w:rPr>
          <w:rFonts w:eastAsia="Arial Unicode MS"/>
          <w:sz w:val="30"/>
          <w:szCs w:val="30"/>
        </w:rPr>
        <w:t xml:space="preserve"> </w:t>
      </w:r>
      <w:r w:rsidR="001E2872">
        <w:rPr>
          <w:rFonts w:eastAsia="Arial Unicode MS"/>
          <w:sz w:val="30"/>
          <w:szCs w:val="30"/>
        </w:rPr>
        <w:t xml:space="preserve">remedy lies in Rule 35 (21) </w:t>
      </w:r>
      <w:r w:rsidR="00AC6A9A">
        <w:rPr>
          <w:rFonts w:eastAsia="Arial Unicode MS"/>
          <w:sz w:val="30"/>
          <w:szCs w:val="30"/>
        </w:rPr>
        <w:t xml:space="preserve">in terms of which </w:t>
      </w:r>
      <w:r w:rsidR="001E2872">
        <w:rPr>
          <w:rFonts w:eastAsia="Arial Unicode MS"/>
          <w:sz w:val="30"/>
          <w:szCs w:val="30"/>
        </w:rPr>
        <w:t xml:space="preserve">the defaulting party </w:t>
      </w:r>
      <w:r w:rsidR="00EE16C9">
        <w:rPr>
          <w:rFonts w:eastAsia="Arial Unicode MS"/>
          <w:sz w:val="30"/>
          <w:szCs w:val="30"/>
        </w:rPr>
        <w:t xml:space="preserve">is not </w:t>
      </w:r>
      <w:r w:rsidR="001E2872">
        <w:rPr>
          <w:rFonts w:eastAsia="Arial Unicode MS"/>
          <w:sz w:val="30"/>
          <w:szCs w:val="30"/>
        </w:rPr>
        <w:t>entitled to use such document in the proceedings except with the leave of the court.</w:t>
      </w:r>
    </w:p>
    <w:p w:rsidR="001E2872" w:rsidRDefault="001E2872" w:rsidP="001E2872">
      <w:pPr>
        <w:pStyle w:val="ListParagraph"/>
        <w:spacing w:line="480" w:lineRule="auto"/>
        <w:ind w:left="1800"/>
        <w:jc w:val="both"/>
        <w:rPr>
          <w:rFonts w:eastAsia="Arial Unicode MS"/>
          <w:sz w:val="30"/>
          <w:szCs w:val="30"/>
        </w:rPr>
      </w:pPr>
    </w:p>
    <w:p w:rsidR="001E2872" w:rsidRDefault="001E2872" w:rsidP="001E2872">
      <w:pPr>
        <w:pStyle w:val="ListParagraph"/>
        <w:numPr>
          <w:ilvl w:val="0"/>
          <w:numId w:val="6"/>
        </w:numPr>
        <w:spacing w:line="480" w:lineRule="auto"/>
        <w:ind w:hanging="720"/>
        <w:jc w:val="both"/>
        <w:rPr>
          <w:rFonts w:eastAsia="Arial Unicode MS"/>
          <w:sz w:val="30"/>
          <w:szCs w:val="30"/>
        </w:rPr>
      </w:pPr>
      <w:r>
        <w:rPr>
          <w:rFonts w:eastAsia="Arial Unicode MS"/>
          <w:sz w:val="30"/>
          <w:szCs w:val="30"/>
        </w:rPr>
        <w:t>The record shows that b</w:t>
      </w:r>
      <w:r w:rsidR="004351F2">
        <w:rPr>
          <w:rFonts w:eastAsia="Arial Unicode MS"/>
          <w:sz w:val="30"/>
          <w:szCs w:val="30"/>
        </w:rPr>
        <w:t>y the time the</w:t>
      </w:r>
      <w:r>
        <w:rPr>
          <w:rFonts w:eastAsia="Arial Unicode MS"/>
          <w:sz w:val="30"/>
          <w:szCs w:val="30"/>
        </w:rPr>
        <w:t xml:space="preserve"> matter was argued in the </w:t>
      </w:r>
      <w:r>
        <w:rPr>
          <w:rFonts w:eastAsia="Arial Unicode MS"/>
          <w:i/>
          <w:sz w:val="30"/>
          <w:szCs w:val="30"/>
        </w:rPr>
        <w:t>court a quo</w:t>
      </w:r>
      <w:r>
        <w:rPr>
          <w:rFonts w:eastAsia="Arial Unicode MS"/>
          <w:sz w:val="30"/>
          <w:szCs w:val="30"/>
        </w:rPr>
        <w:t xml:space="preserve"> in October 2013, the respondent had duly furnished the appellants with the court order in question.  Yet despite the order having been made available to them they still failed to file answering affidavits</w:t>
      </w:r>
      <w:r w:rsidR="00EE16C9">
        <w:rPr>
          <w:rFonts w:eastAsia="Arial Unicode MS"/>
          <w:sz w:val="30"/>
          <w:szCs w:val="30"/>
        </w:rPr>
        <w:t>.  I</w:t>
      </w:r>
      <w:r w:rsidR="009C1066">
        <w:rPr>
          <w:rFonts w:eastAsia="Arial Unicode MS"/>
          <w:sz w:val="30"/>
          <w:szCs w:val="30"/>
        </w:rPr>
        <w:t>n a well presented argument</w:t>
      </w:r>
      <w:r w:rsidR="00EE16C9">
        <w:rPr>
          <w:rFonts w:eastAsia="Arial Unicode MS"/>
          <w:sz w:val="30"/>
          <w:szCs w:val="30"/>
        </w:rPr>
        <w:t xml:space="preserve">, </w:t>
      </w:r>
      <w:r>
        <w:rPr>
          <w:rFonts w:eastAsia="Arial Unicode MS"/>
          <w:sz w:val="30"/>
          <w:szCs w:val="30"/>
        </w:rPr>
        <w:t xml:space="preserve"> </w:t>
      </w:r>
      <w:proofErr w:type="spellStart"/>
      <w:r w:rsidR="009C1066">
        <w:rPr>
          <w:rFonts w:eastAsia="Arial Unicode MS"/>
          <w:sz w:val="30"/>
          <w:szCs w:val="30"/>
          <w:u w:val="single"/>
        </w:rPr>
        <w:t>Mr</w:t>
      </w:r>
      <w:proofErr w:type="spellEnd"/>
      <w:r w:rsidR="009C1066">
        <w:rPr>
          <w:rFonts w:eastAsia="Arial Unicode MS"/>
          <w:sz w:val="30"/>
          <w:szCs w:val="30"/>
          <w:u w:val="single"/>
        </w:rPr>
        <w:t xml:space="preserve"> </w:t>
      </w:r>
      <w:r w:rsidR="00EE16C9">
        <w:rPr>
          <w:rFonts w:eastAsia="Arial Unicode MS"/>
          <w:sz w:val="30"/>
          <w:szCs w:val="30"/>
          <w:u w:val="single"/>
        </w:rPr>
        <w:t xml:space="preserve">M.E </w:t>
      </w:r>
      <w:proofErr w:type="spellStart"/>
      <w:r w:rsidR="009C1066">
        <w:rPr>
          <w:rFonts w:eastAsia="Arial Unicode MS"/>
          <w:sz w:val="30"/>
          <w:szCs w:val="30"/>
          <w:u w:val="single"/>
        </w:rPr>
        <w:t>Simelane</w:t>
      </w:r>
      <w:proofErr w:type="spellEnd"/>
      <w:r w:rsidR="009C1066">
        <w:rPr>
          <w:rFonts w:eastAsia="Arial Unicode MS"/>
          <w:sz w:val="30"/>
          <w:szCs w:val="30"/>
        </w:rPr>
        <w:t xml:space="preserve">  for the respondent submitted that the appellants did not have the courage to address on oath the “wrongs” they had committed against the deceased’s estate.  I am disposed to agree in the circumstances of this case.</w:t>
      </w:r>
    </w:p>
    <w:p w:rsidR="004A1C51" w:rsidRDefault="004A1C51" w:rsidP="004A1C51">
      <w:pPr>
        <w:spacing w:line="480" w:lineRule="auto"/>
        <w:jc w:val="both"/>
        <w:rPr>
          <w:rFonts w:eastAsia="Arial Unicode MS"/>
          <w:sz w:val="30"/>
          <w:szCs w:val="30"/>
        </w:rPr>
      </w:pPr>
    </w:p>
    <w:p w:rsidR="004A1C51" w:rsidRDefault="004A1C51" w:rsidP="004A1C51">
      <w:pPr>
        <w:spacing w:line="480" w:lineRule="auto"/>
        <w:ind w:left="720" w:hanging="720"/>
        <w:jc w:val="both"/>
        <w:rPr>
          <w:rFonts w:eastAsia="Arial Unicode MS"/>
          <w:sz w:val="30"/>
          <w:szCs w:val="30"/>
        </w:rPr>
      </w:pPr>
      <w:r>
        <w:rPr>
          <w:rFonts w:eastAsia="Arial Unicode MS"/>
          <w:sz w:val="30"/>
          <w:szCs w:val="30"/>
        </w:rPr>
        <w:t>[9]</w:t>
      </w:r>
      <w:r>
        <w:rPr>
          <w:rFonts w:eastAsia="Arial Unicode MS"/>
          <w:sz w:val="30"/>
          <w:szCs w:val="30"/>
        </w:rPr>
        <w:tab/>
        <w:t xml:space="preserve">In its approach to the matter, the </w:t>
      </w:r>
      <w:r>
        <w:rPr>
          <w:rFonts w:eastAsia="Arial Unicode MS"/>
          <w:i/>
          <w:sz w:val="30"/>
          <w:szCs w:val="30"/>
        </w:rPr>
        <w:t>court a quo</w:t>
      </w:r>
      <w:r>
        <w:rPr>
          <w:rFonts w:eastAsia="Arial Unicode MS"/>
          <w:sz w:val="30"/>
          <w:szCs w:val="30"/>
        </w:rPr>
        <w:t xml:space="preserve"> took the view that because of the appellants’ failure to file answering affidavits</w:t>
      </w:r>
      <w:r w:rsidR="009C1066">
        <w:rPr>
          <w:rFonts w:eastAsia="Arial Unicode MS"/>
          <w:sz w:val="30"/>
          <w:szCs w:val="30"/>
        </w:rPr>
        <w:t>,</w:t>
      </w:r>
      <w:r>
        <w:rPr>
          <w:rFonts w:eastAsia="Arial Unicode MS"/>
          <w:sz w:val="30"/>
          <w:szCs w:val="30"/>
        </w:rPr>
        <w:t xml:space="preserve"> there was “</w:t>
      </w:r>
      <w:r w:rsidRPr="00F925B5">
        <w:rPr>
          <w:rFonts w:eastAsia="Arial Unicode MS"/>
          <w:sz w:val="30"/>
          <w:szCs w:val="30"/>
        </w:rPr>
        <w:t xml:space="preserve">simply </w:t>
      </w:r>
      <w:r w:rsidRPr="00F925B5">
        <w:rPr>
          <w:rFonts w:eastAsia="Arial Unicode MS"/>
          <w:sz w:val="30"/>
          <w:szCs w:val="30"/>
        </w:rPr>
        <w:lastRenderedPageBreak/>
        <w:t>no contest in this case and the application ought to be granted without any</w:t>
      </w:r>
      <w:r>
        <w:rPr>
          <w:rFonts w:eastAsia="Arial Unicode MS"/>
          <w:sz w:val="30"/>
          <w:szCs w:val="30"/>
        </w:rPr>
        <w:t xml:space="preserve"> further ado.”  I am unable to find any fault with this approach in the circumstances of this case.  Indeed, the learned Judge </w:t>
      </w:r>
      <w:r w:rsidRPr="00F925B5">
        <w:rPr>
          <w:rFonts w:eastAsia="Arial Unicode MS"/>
          <w:i/>
          <w:sz w:val="30"/>
          <w:szCs w:val="30"/>
        </w:rPr>
        <w:t>a quo</w:t>
      </w:r>
      <w:r>
        <w:rPr>
          <w:rFonts w:eastAsia="Arial Unicode MS"/>
          <w:i/>
          <w:sz w:val="30"/>
          <w:szCs w:val="30"/>
        </w:rPr>
        <w:t xml:space="preserve"> </w:t>
      </w:r>
      <w:r w:rsidRPr="00F925B5">
        <w:rPr>
          <w:rFonts w:eastAsia="Arial Unicode MS"/>
          <w:sz w:val="30"/>
          <w:szCs w:val="30"/>
        </w:rPr>
        <w:t>is supp</w:t>
      </w:r>
      <w:r>
        <w:rPr>
          <w:rFonts w:eastAsia="Arial Unicode MS"/>
          <w:sz w:val="30"/>
          <w:szCs w:val="30"/>
        </w:rPr>
        <w:t xml:space="preserve">orted by authority.  Thus, for example, in </w:t>
      </w:r>
      <w:proofErr w:type="spellStart"/>
      <w:r>
        <w:rPr>
          <w:rFonts w:eastAsia="Arial Unicode MS"/>
          <w:b/>
          <w:sz w:val="30"/>
          <w:szCs w:val="30"/>
          <w:u w:val="single"/>
        </w:rPr>
        <w:t>Chobokoane</w:t>
      </w:r>
      <w:proofErr w:type="spellEnd"/>
      <w:r>
        <w:rPr>
          <w:rFonts w:eastAsia="Arial Unicode MS"/>
          <w:b/>
          <w:sz w:val="30"/>
          <w:szCs w:val="30"/>
          <w:u w:val="single"/>
        </w:rPr>
        <w:t xml:space="preserve"> v Solicitor General 1985 – 1989 LAC 64</w:t>
      </w:r>
      <w:r>
        <w:rPr>
          <w:rFonts w:eastAsia="Arial Unicode MS"/>
          <w:sz w:val="30"/>
          <w:szCs w:val="30"/>
        </w:rPr>
        <w:t xml:space="preserve"> at 65 the Lesotho Court of Appeal made the following apposite remarks which I am happy to adopt in this jurisdiction:-</w:t>
      </w:r>
    </w:p>
    <w:p w:rsidR="004A1C51" w:rsidRDefault="004A1C51" w:rsidP="004A1C51">
      <w:pPr>
        <w:spacing w:line="480" w:lineRule="auto"/>
        <w:ind w:left="720" w:hanging="720"/>
        <w:jc w:val="both"/>
        <w:rPr>
          <w:rFonts w:eastAsia="Arial Unicode MS"/>
          <w:sz w:val="30"/>
          <w:szCs w:val="30"/>
        </w:rPr>
      </w:pPr>
    </w:p>
    <w:p w:rsidR="004A1C51" w:rsidRDefault="004A1C51" w:rsidP="004A1C51">
      <w:pPr>
        <w:spacing w:line="360" w:lineRule="auto"/>
        <w:ind w:left="1440"/>
        <w:jc w:val="both"/>
        <w:rPr>
          <w:rFonts w:eastAsia="Arial Unicode MS"/>
          <w:i/>
          <w:sz w:val="30"/>
          <w:szCs w:val="30"/>
        </w:rPr>
      </w:pPr>
      <w:r>
        <w:rPr>
          <w:rFonts w:eastAsia="Arial Unicode MS"/>
          <w:i/>
          <w:sz w:val="30"/>
          <w:szCs w:val="30"/>
        </w:rPr>
        <w:t xml:space="preserve">“The affidavit made by the applicant constitutes and contains not only his allegations but also his evidence, and if this evidence is not </w:t>
      </w:r>
      <w:proofErr w:type="spellStart"/>
      <w:r>
        <w:rPr>
          <w:rFonts w:eastAsia="Arial Unicode MS"/>
          <w:i/>
          <w:sz w:val="30"/>
          <w:szCs w:val="30"/>
        </w:rPr>
        <w:t>controverted</w:t>
      </w:r>
      <w:proofErr w:type="spellEnd"/>
      <w:r>
        <w:rPr>
          <w:rFonts w:eastAsia="Arial Unicode MS"/>
          <w:i/>
          <w:sz w:val="30"/>
          <w:szCs w:val="30"/>
        </w:rPr>
        <w:t xml:space="preserve"> or explained, it will usually be accepted by the Court.  In other words the affidavit itself constitutes proof, and no further proof is necessary. … and as there has been no denial, the matter must be approached on the basis that these allegations by appellant are proved.”</w:t>
      </w:r>
    </w:p>
    <w:p w:rsidR="00293709" w:rsidRDefault="00293709" w:rsidP="004A1C51">
      <w:pPr>
        <w:spacing w:line="360" w:lineRule="auto"/>
        <w:ind w:left="1440"/>
        <w:jc w:val="both"/>
        <w:rPr>
          <w:rFonts w:eastAsia="Arial Unicode MS"/>
          <w:i/>
          <w:sz w:val="30"/>
          <w:szCs w:val="30"/>
        </w:rPr>
      </w:pPr>
    </w:p>
    <w:p w:rsidR="00293709" w:rsidRPr="00293709" w:rsidRDefault="00293709" w:rsidP="00293709">
      <w:pPr>
        <w:spacing w:line="360" w:lineRule="auto"/>
        <w:ind w:left="720"/>
        <w:jc w:val="both"/>
        <w:rPr>
          <w:rFonts w:eastAsia="Arial Unicode MS"/>
          <w:sz w:val="30"/>
          <w:szCs w:val="30"/>
        </w:rPr>
      </w:pPr>
      <w:r>
        <w:rPr>
          <w:rFonts w:eastAsia="Arial Unicode MS"/>
          <w:sz w:val="30"/>
          <w:szCs w:val="30"/>
        </w:rPr>
        <w:t xml:space="preserve">In this jurisdiction see, for example, </w:t>
      </w:r>
      <w:r w:rsidR="00944A8A" w:rsidRPr="00944A8A">
        <w:rPr>
          <w:rFonts w:eastAsia="Arial Unicode MS"/>
          <w:b/>
          <w:sz w:val="30"/>
          <w:szCs w:val="30"/>
          <w:u w:val="single"/>
        </w:rPr>
        <w:t>T</w:t>
      </w:r>
      <w:r w:rsidRPr="00944A8A">
        <w:rPr>
          <w:rFonts w:eastAsia="Arial Unicode MS"/>
          <w:b/>
          <w:sz w:val="30"/>
          <w:szCs w:val="30"/>
          <w:u w:val="single"/>
        </w:rPr>
        <w:t>he</w:t>
      </w:r>
      <w:r>
        <w:rPr>
          <w:rFonts w:eastAsia="Arial Unicode MS"/>
          <w:b/>
          <w:sz w:val="30"/>
          <w:szCs w:val="30"/>
          <w:u w:val="single"/>
        </w:rPr>
        <w:t xml:space="preserve"> Prime Minister of Swaziland and Others </w:t>
      </w:r>
      <w:r w:rsidR="00D60C81">
        <w:rPr>
          <w:rFonts w:eastAsia="Arial Unicode MS"/>
          <w:b/>
          <w:sz w:val="30"/>
          <w:szCs w:val="30"/>
          <w:u w:val="single"/>
        </w:rPr>
        <w:t>V</w:t>
      </w:r>
      <w:r>
        <w:rPr>
          <w:rFonts w:eastAsia="Arial Unicode MS"/>
          <w:b/>
          <w:sz w:val="30"/>
          <w:szCs w:val="30"/>
          <w:u w:val="single"/>
        </w:rPr>
        <w:t xml:space="preserve"> Christopher </w:t>
      </w:r>
      <w:proofErr w:type="spellStart"/>
      <w:r>
        <w:rPr>
          <w:rFonts w:eastAsia="Arial Unicode MS"/>
          <w:b/>
          <w:sz w:val="30"/>
          <w:szCs w:val="30"/>
          <w:u w:val="single"/>
        </w:rPr>
        <w:t>Vilakati</w:t>
      </w:r>
      <w:proofErr w:type="spellEnd"/>
      <w:r w:rsidR="00944A8A">
        <w:rPr>
          <w:rFonts w:eastAsia="Arial Unicode MS"/>
          <w:b/>
          <w:sz w:val="30"/>
          <w:szCs w:val="30"/>
          <w:u w:val="single"/>
        </w:rPr>
        <w:t>,</w:t>
      </w:r>
      <w:r>
        <w:rPr>
          <w:rFonts w:eastAsia="Arial Unicode MS"/>
          <w:b/>
          <w:sz w:val="30"/>
          <w:szCs w:val="30"/>
          <w:u w:val="single"/>
        </w:rPr>
        <w:t xml:space="preserve"> Civil Appeal Case No. 30/12</w:t>
      </w:r>
      <w:r>
        <w:rPr>
          <w:rFonts w:eastAsia="Arial Unicode MS"/>
          <w:sz w:val="30"/>
          <w:szCs w:val="30"/>
        </w:rPr>
        <w:t xml:space="preserve"> per Moore JA (</w:t>
      </w:r>
      <w:proofErr w:type="spellStart"/>
      <w:r>
        <w:rPr>
          <w:rFonts w:eastAsia="Arial Unicode MS"/>
          <w:sz w:val="30"/>
          <w:szCs w:val="30"/>
        </w:rPr>
        <w:t>Ebrahim</w:t>
      </w:r>
      <w:proofErr w:type="spellEnd"/>
      <w:r>
        <w:rPr>
          <w:rFonts w:eastAsia="Arial Unicode MS"/>
          <w:sz w:val="30"/>
          <w:szCs w:val="30"/>
        </w:rPr>
        <w:t xml:space="preserve"> and Ota JJA concurring).</w:t>
      </w:r>
    </w:p>
    <w:p w:rsidR="004A1C51" w:rsidRPr="004A1C51" w:rsidRDefault="004A1C51" w:rsidP="004A1C51">
      <w:pPr>
        <w:spacing w:line="480" w:lineRule="auto"/>
        <w:jc w:val="both"/>
        <w:rPr>
          <w:rFonts w:eastAsia="Arial Unicode MS"/>
          <w:sz w:val="30"/>
          <w:szCs w:val="30"/>
        </w:rPr>
      </w:pPr>
    </w:p>
    <w:p w:rsidR="007A21A6" w:rsidRPr="001E2872" w:rsidRDefault="001E2872" w:rsidP="000A112A">
      <w:pPr>
        <w:spacing w:line="480" w:lineRule="auto"/>
        <w:ind w:left="720" w:hanging="720"/>
        <w:jc w:val="both"/>
        <w:rPr>
          <w:rFonts w:eastAsia="Arial Unicode MS"/>
          <w:sz w:val="30"/>
          <w:szCs w:val="30"/>
        </w:rPr>
      </w:pPr>
      <w:r>
        <w:rPr>
          <w:rFonts w:eastAsia="Arial Unicode MS"/>
          <w:sz w:val="30"/>
          <w:szCs w:val="30"/>
        </w:rPr>
        <w:t>[10]</w:t>
      </w:r>
      <w:r>
        <w:rPr>
          <w:rFonts w:eastAsia="Arial Unicode MS"/>
          <w:sz w:val="30"/>
          <w:szCs w:val="30"/>
        </w:rPr>
        <w:tab/>
      </w:r>
      <w:r>
        <w:rPr>
          <w:rFonts w:eastAsia="Arial Unicode MS"/>
          <w:sz w:val="30"/>
          <w:szCs w:val="30"/>
          <w:u w:val="single"/>
        </w:rPr>
        <w:t>Adv Flynn</w:t>
      </w:r>
      <w:r>
        <w:rPr>
          <w:rFonts w:eastAsia="Arial Unicode MS"/>
          <w:sz w:val="30"/>
          <w:szCs w:val="30"/>
        </w:rPr>
        <w:t xml:space="preserve"> relied heavily on the cases of </w:t>
      </w:r>
      <w:proofErr w:type="spellStart"/>
      <w:r w:rsidRPr="00E002D4">
        <w:rPr>
          <w:rFonts w:eastAsia="Arial Unicode MS"/>
          <w:b/>
          <w:sz w:val="30"/>
          <w:szCs w:val="30"/>
          <w:u w:val="single"/>
        </w:rPr>
        <w:t>Protea</w:t>
      </w:r>
      <w:proofErr w:type="spellEnd"/>
      <w:r w:rsidRPr="00E002D4">
        <w:rPr>
          <w:rFonts w:eastAsia="Arial Unicode MS"/>
          <w:b/>
          <w:sz w:val="30"/>
          <w:szCs w:val="30"/>
          <w:u w:val="single"/>
        </w:rPr>
        <w:t xml:space="preserve"> Assurance Co LTD and Another V Waverly Agencies CC and Others 1994 (3) SA 247</w:t>
      </w:r>
      <w:r w:rsidR="006B3BDF" w:rsidRPr="00E002D4">
        <w:rPr>
          <w:rFonts w:eastAsia="Arial Unicode MS"/>
          <w:b/>
          <w:sz w:val="30"/>
          <w:szCs w:val="30"/>
          <w:u w:val="single"/>
        </w:rPr>
        <w:t xml:space="preserve"> </w:t>
      </w:r>
      <w:r w:rsidR="00AE1058" w:rsidRPr="00E002D4">
        <w:rPr>
          <w:rFonts w:eastAsia="Arial Unicode MS"/>
          <w:b/>
          <w:sz w:val="30"/>
          <w:szCs w:val="30"/>
          <w:u w:val="single"/>
        </w:rPr>
        <w:lastRenderedPageBreak/>
        <w:t xml:space="preserve">(C) and Unilever plc and Another V </w:t>
      </w:r>
      <w:proofErr w:type="spellStart"/>
      <w:r w:rsidR="00AE1058" w:rsidRPr="00E002D4">
        <w:rPr>
          <w:rFonts w:eastAsia="Arial Unicode MS"/>
          <w:b/>
          <w:sz w:val="30"/>
          <w:szCs w:val="30"/>
          <w:u w:val="single"/>
        </w:rPr>
        <w:t>Polagric</w:t>
      </w:r>
      <w:proofErr w:type="spellEnd"/>
      <w:r w:rsidR="00AE1058" w:rsidRPr="00E002D4">
        <w:rPr>
          <w:rFonts w:eastAsia="Arial Unicode MS"/>
          <w:b/>
          <w:sz w:val="30"/>
          <w:szCs w:val="30"/>
          <w:u w:val="single"/>
        </w:rPr>
        <w:t xml:space="preserve"> (Pty) LTD 2001 (2) SA 329 (C)</w:t>
      </w:r>
      <w:r w:rsidR="00AE1058">
        <w:rPr>
          <w:rFonts w:eastAsia="Arial Unicode MS"/>
          <w:sz w:val="30"/>
          <w:szCs w:val="30"/>
        </w:rPr>
        <w:t xml:space="preserve"> respectively for the proposition that the appellants were entitled to the discovery of the court order in question before they could file answering affidavits.  I consider, however, that those cases were quoted out of context.  The reality is that those were cases in which applications were made to compel discovery.  They are thus distinguishable from the present case where no such application was made at all.  All that was done here</w:t>
      </w:r>
      <w:r w:rsidR="00E002D4">
        <w:rPr>
          <w:rFonts w:eastAsia="Arial Unicode MS"/>
          <w:sz w:val="30"/>
          <w:szCs w:val="30"/>
        </w:rPr>
        <w:t>, as I repeat,</w:t>
      </w:r>
      <w:r w:rsidR="00AE1058">
        <w:rPr>
          <w:rFonts w:eastAsia="Arial Unicode MS"/>
          <w:sz w:val="30"/>
          <w:szCs w:val="30"/>
        </w:rPr>
        <w:t xml:space="preserve"> was to file a notice for discovery without more.</w:t>
      </w:r>
    </w:p>
    <w:p w:rsidR="007A21A6" w:rsidRDefault="007A21A6" w:rsidP="000A112A">
      <w:pPr>
        <w:spacing w:line="480" w:lineRule="auto"/>
        <w:ind w:left="720" w:hanging="720"/>
        <w:jc w:val="both"/>
        <w:rPr>
          <w:rFonts w:eastAsia="Arial Unicode MS"/>
          <w:sz w:val="30"/>
          <w:szCs w:val="30"/>
        </w:rPr>
      </w:pPr>
    </w:p>
    <w:p w:rsidR="000A112A" w:rsidRDefault="000A112A" w:rsidP="000A112A">
      <w:pPr>
        <w:spacing w:line="480" w:lineRule="auto"/>
        <w:ind w:left="720" w:hanging="720"/>
        <w:jc w:val="both"/>
        <w:rPr>
          <w:rFonts w:eastAsia="Arial Unicode MS"/>
          <w:sz w:val="30"/>
          <w:szCs w:val="30"/>
        </w:rPr>
      </w:pPr>
      <w:r>
        <w:rPr>
          <w:rFonts w:eastAsia="Arial Unicode MS"/>
          <w:sz w:val="30"/>
          <w:szCs w:val="30"/>
        </w:rPr>
        <w:t>[</w:t>
      </w:r>
      <w:r w:rsidR="007A21A6">
        <w:rPr>
          <w:rFonts w:eastAsia="Arial Unicode MS"/>
          <w:sz w:val="30"/>
          <w:szCs w:val="30"/>
        </w:rPr>
        <w:t>1</w:t>
      </w:r>
      <w:r w:rsidR="001E2872">
        <w:rPr>
          <w:rFonts w:eastAsia="Arial Unicode MS"/>
          <w:sz w:val="30"/>
          <w:szCs w:val="30"/>
        </w:rPr>
        <w:t>1</w:t>
      </w:r>
      <w:r>
        <w:rPr>
          <w:rFonts w:eastAsia="Arial Unicode MS"/>
          <w:sz w:val="30"/>
          <w:szCs w:val="30"/>
        </w:rPr>
        <w:t>]</w:t>
      </w:r>
      <w:r>
        <w:rPr>
          <w:rFonts w:eastAsia="Arial Unicode MS"/>
          <w:sz w:val="30"/>
          <w:szCs w:val="30"/>
        </w:rPr>
        <w:tab/>
      </w:r>
      <w:r w:rsidR="0096301D">
        <w:rPr>
          <w:rFonts w:eastAsia="Arial Unicode MS"/>
          <w:sz w:val="30"/>
          <w:szCs w:val="30"/>
        </w:rPr>
        <w:t xml:space="preserve"> </w:t>
      </w:r>
      <w:r>
        <w:rPr>
          <w:rFonts w:eastAsia="Arial Unicode MS"/>
          <w:sz w:val="30"/>
          <w:szCs w:val="30"/>
        </w:rPr>
        <w:t xml:space="preserve">At this stage I discern the need to draw attention to the following salutary remarks of Corbett J, as he then was, in </w:t>
      </w:r>
      <w:r w:rsidRPr="000A112A">
        <w:rPr>
          <w:rFonts w:eastAsia="Arial Unicode MS"/>
          <w:b/>
          <w:sz w:val="30"/>
          <w:szCs w:val="30"/>
          <w:u w:val="single"/>
        </w:rPr>
        <w:t>Bader and Another v Weston and Another 1967 (1) SA 134 (C)</w:t>
      </w:r>
      <w:r>
        <w:rPr>
          <w:rFonts w:eastAsia="Arial Unicode MS"/>
          <w:sz w:val="30"/>
          <w:szCs w:val="30"/>
        </w:rPr>
        <w:t xml:space="preserve"> at 136:-</w:t>
      </w:r>
    </w:p>
    <w:p w:rsidR="000A112A" w:rsidRDefault="000A112A" w:rsidP="00855311">
      <w:pPr>
        <w:spacing w:line="360" w:lineRule="auto"/>
        <w:jc w:val="both"/>
        <w:rPr>
          <w:rFonts w:eastAsia="Arial Unicode MS"/>
          <w:sz w:val="30"/>
          <w:szCs w:val="30"/>
        </w:rPr>
      </w:pPr>
      <w:r>
        <w:rPr>
          <w:rFonts w:eastAsia="Arial Unicode MS"/>
          <w:sz w:val="30"/>
          <w:szCs w:val="30"/>
        </w:rPr>
        <w:tab/>
      </w:r>
    </w:p>
    <w:p w:rsidR="00C61B69" w:rsidRDefault="00F925B5" w:rsidP="009B019F">
      <w:pPr>
        <w:spacing w:line="360" w:lineRule="auto"/>
        <w:ind w:left="1440"/>
        <w:jc w:val="both"/>
        <w:rPr>
          <w:rFonts w:eastAsia="Arial Unicode MS"/>
          <w:sz w:val="30"/>
          <w:szCs w:val="30"/>
        </w:rPr>
      </w:pPr>
      <w:r>
        <w:rPr>
          <w:rFonts w:eastAsia="Arial Unicode MS"/>
          <w:i/>
          <w:sz w:val="30"/>
          <w:szCs w:val="30"/>
        </w:rPr>
        <w:t>“</w:t>
      </w:r>
      <w:r w:rsidRPr="00F925B5">
        <w:rPr>
          <w:rFonts w:eastAsia="Arial Unicode MS"/>
          <w:i/>
          <w:sz w:val="30"/>
          <w:szCs w:val="30"/>
        </w:rPr>
        <w:t>I</w:t>
      </w:r>
      <w:r>
        <w:rPr>
          <w:rFonts w:eastAsia="Arial Unicode MS"/>
          <w:i/>
          <w:sz w:val="30"/>
          <w:szCs w:val="30"/>
        </w:rPr>
        <w:t xml:space="preserve">t seems to me </w:t>
      </w:r>
      <w:r w:rsidR="0053271D">
        <w:rPr>
          <w:rFonts w:eastAsia="Arial Unicode MS"/>
          <w:i/>
          <w:sz w:val="30"/>
          <w:szCs w:val="30"/>
        </w:rPr>
        <w:t xml:space="preserve">that, generally speaking, our application procedure requires a respondent, who wishes to oppose an application on the merits, to place his case on the merits before the Court </w:t>
      </w:r>
      <w:r w:rsidR="00F20784">
        <w:rPr>
          <w:rFonts w:eastAsia="Arial Unicode MS"/>
          <w:i/>
          <w:sz w:val="30"/>
          <w:szCs w:val="30"/>
        </w:rPr>
        <w:t xml:space="preserve">by way of affidavit within the normal time limits and in accordance </w:t>
      </w:r>
      <w:r w:rsidR="0053271D">
        <w:rPr>
          <w:rFonts w:eastAsia="Arial Unicode MS"/>
          <w:i/>
          <w:sz w:val="30"/>
          <w:szCs w:val="30"/>
        </w:rPr>
        <w:t xml:space="preserve">with the normal procedures prescribed by the Rules of Court.  Having done so, it is also open to him to take the preliminary point that (in this case) the petition fails to disclose </w:t>
      </w:r>
      <w:r w:rsidR="000777BD">
        <w:rPr>
          <w:rFonts w:eastAsia="Arial Unicode MS"/>
          <w:i/>
          <w:sz w:val="30"/>
          <w:szCs w:val="30"/>
        </w:rPr>
        <w:t xml:space="preserve">a </w:t>
      </w:r>
      <w:r w:rsidR="000777BD">
        <w:rPr>
          <w:rFonts w:eastAsia="Arial Unicode MS"/>
          <w:i/>
          <w:sz w:val="30"/>
          <w:szCs w:val="30"/>
        </w:rPr>
        <w:lastRenderedPageBreak/>
        <w:t xml:space="preserve">cause of action and this will often be </w:t>
      </w:r>
      <w:r w:rsidR="00A318B3">
        <w:rPr>
          <w:rFonts w:eastAsia="Arial Unicode MS"/>
          <w:i/>
          <w:sz w:val="30"/>
          <w:szCs w:val="30"/>
        </w:rPr>
        <w:t xml:space="preserve">a </w:t>
      </w:r>
      <w:r w:rsidR="000777BD">
        <w:rPr>
          <w:rFonts w:eastAsia="Arial Unicode MS"/>
          <w:i/>
          <w:sz w:val="30"/>
          <w:szCs w:val="30"/>
        </w:rPr>
        <w:t xml:space="preserve">convenient procedure where material disputes of fact have </w:t>
      </w:r>
      <w:r w:rsidR="00BE4644">
        <w:rPr>
          <w:rFonts w:eastAsia="Arial Unicode MS"/>
          <w:i/>
          <w:sz w:val="30"/>
          <w:szCs w:val="30"/>
        </w:rPr>
        <w:t>arisen which cannot be resolved without recourse to the hearing of oral evidence.  On the other hand, I do not think that norma</w:t>
      </w:r>
      <w:r w:rsidR="00855311">
        <w:rPr>
          <w:rFonts w:eastAsia="Arial Unicode MS"/>
          <w:i/>
          <w:sz w:val="30"/>
          <w:szCs w:val="30"/>
        </w:rPr>
        <w:t xml:space="preserve">lly it is proper for such a respondent not to file opposing affidavits but merely to take the preliminary </w:t>
      </w:r>
      <w:r>
        <w:rPr>
          <w:rFonts w:eastAsia="Arial Unicode MS"/>
          <w:i/>
          <w:sz w:val="30"/>
          <w:szCs w:val="30"/>
        </w:rPr>
        <w:t xml:space="preserve">point.” </w:t>
      </w:r>
      <w:r w:rsidR="000A112A">
        <w:rPr>
          <w:rFonts w:eastAsia="Arial Unicode MS"/>
          <w:sz w:val="30"/>
          <w:szCs w:val="30"/>
        </w:rPr>
        <w:t xml:space="preserve"> </w:t>
      </w:r>
      <w:r w:rsidR="00C61B69">
        <w:rPr>
          <w:rFonts w:eastAsia="Arial Unicode MS"/>
          <w:sz w:val="30"/>
          <w:szCs w:val="30"/>
        </w:rPr>
        <w:tab/>
      </w:r>
    </w:p>
    <w:p w:rsidR="00F109FB" w:rsidRDefault="00F109FB" w:rsidP="009B019F">
      <w:pPr>
        <w:spacing w:line="360" w:lineRule="auto"/>
        <w:ind w:left="1440"/>
        <w:jc w:val="both"/>
        <w:rPr>
          <w:rFonts w:eastAsia="Arial Unicode MS"/>
          <w:sz w:val="30"/>
          <w:szCs w:val="30"/>
        </w:rPr>
      </w:pPr>
    </w:p>
    <w:p w:rsidR="00F042D0" w:rsidRDefault="00F042D0" w:rsidP="009B019F">
      <w:pPr>
        <w:spacing w:line="360" w:lineRule="auto"/>
        <w:ind w:left="1440"/>
        <w:jc w:val="both"/>
        <w:rPr>
          <w:rFonts w:eastAsia="Arial Unicode MS"/>
          <w:sz w:val="30"/>
          <w:szCs w:val="30"/>
        </w:rPr>
      </w:pPr>
      <w:r>
        <w:rPr>
          <w:rFonts w:eastAsia="Arial Unicode MS"/>
          <w:sz w:val="30"/>
          <w:szCs w:val="30"/>
        </w:rPr>
        <w:t>One has a similar situation here.</w:t>
      </w:r>
    </w:p>
    <w:p w:rsidR="00F042D0" w:rsidRDefault="00F042D0" w:rsidP="009B019F">
      <w:pPr>
        <w:spacing w:line="360" w:lineRule="auto"/>
        <w:ind w:left="1440"/>
        <w:jc w:val="both"/>
        <w:rPr>
          <w:rFonts w:eastAsia="Arial Unicode MS"/>
          <w:sz w:val="30"/>
          <w:szCs w:val="30"/>
        </w:rPr>
      </w:pPr>
    </w:p>
    <w:p w:rsidR="00F109FB" w:rsidRDefault="004A1C51" w:rsidP="00F109FB">
      <w:pPr>
        <w:spacing w:line="480" w:lineRule="auto"/>
        <w:ind w:left="720" w:hanging="720"/>
        <w:jc w:val="both"/>
        <w:rPr>
          <w:rFonts w:eastAsia="Arial Unicode MS"/>
          <w:sz w:val="30"/>
          <w:szCs w:val="30"/>
        </w:rPr>
      </w:pPr>
      <w:r>
        <w:rPr>
          <w:rFonts w:eastAsia="Arial Unicode MS"/>
          <w:sz w:val="30"/>
          <w:szCs w:val="30"/>
        </w:rPr>
        <w:t>[12]</w:t>
      </w:r>
      <w:r>
        <w:rPr>
          <w:rFonts w:eastAsia="Arial Unicode MS"/>
          <w:sz w:val="30"/>
          <w:szCs w:val="30"/>
        </w:rPr>
        <w:tab/>
        <w:t>It follows from these considerations that there is no merit in the appeal.  It is accordingly dismissed with costs.</w:t>
      </w:r>
    </w:p>
    <w:p w:rsidR="00F109FB" w:rsidRDefault="00F109FB" w:rsidP="004A1C51">
      <w:pPr>
        <w:spacing w:line="480" w:lineRule="auto"/>
        <w:jc w:val="both"/>
        <w:rPr>
          <w:rFonts w:eastAsia="Arial Unicode MS"/>
          <w:sz w:val="30"/>
          <w:szCs w:val="30"/>
        </w:rPr>
      </w:pPr>
    </w:p>
    <w:p w:rsidR="00F042D0" w:rsidRPr="00F925B5" w:rsidRDefault="00F042D0" w:rsidP="004A1C51">
      <w:pPr>
        <w:spacing w:line="480" w:lineRule="auto"/>
        <w:jc w:val="both"/>
        <w:rPr>
          <w:rFonts w:eastAsia="Arial Unicode MS"/>
          <w:sz w:val="30"/>
          <w:szCs w:val="30"/>
        </w:rPr>
      </w:pPr>
    </w:p>
    <w:p w:rsidR="00E111B9" w:rsidRPr="00775896" w:rsidRDefault="00E111B9" w:rsidP="00E111B9">
      <w:pPr>
        <w:spacing w:line="360" w:lineRule="auto"/>
        <w:ind w:left="547" w:hanging="547"/>
        <w:jc w:val="both"/>
        <w:rPr>
          <w:rFonts w:eastAsia="Arial Unicode MS"/>
          <w:sz w:val="30"/>
          <w:szCs w:val="30"/>
        </w:rPr>
      </w:pP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sidRPr="00775896">
        <w:rPr>
          <w:rFonts w:eastAsia="Arial Unicode MS"/>
          <w:sz w:val="30"/>
          <w:szCs w:val="30"/>
        </w:rPr>
        <w:tab/>
      </w:r>
      <w:r w:rsidRPr="00775896">
        <w:rPr>
          <w:rFonts w:eastAsia="Arial Unicode MS"/>
          <w:sz w:val="30"/>
          <w:szCs w:val="30"/>
        </w:rPr>
        <w:tab/>
      </w:r>
      <w:r w:rsidRPr="00775896">
        <w:rPr>
          <w:rFonts w:eastAsia="Arial Unicode MS"/>
          <w:b/>
          <w:sz w:val="30"/>
          <w:szCs w:val="30"/>
        </w:rPr>
        <w:t>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ab/>
      </w:r>
      <w:r w:rsidRPr="00775896">
        <w:rPr>
          <w:rFonts w:eastAsia="Arial Unicode MS"/>
          <w:b/>
          <w:sz w:val="30"/>
          <w:szCs w:val="30"/>
        </w:rPr>
        <w:t>M.</w:t>
      </w:r>
      <w:r>
        <w:rPr>
          <w:rFonts w:eastAsia="Arial Unicode MS"/>
          <w:b/>
          <w:sz w:val="30"/>
          <w:szCs w:val="30"/>
        </w:rPr>
        <w:t xml:space="preserve"> </w:t>
      </w:r>
      <w:r w:rsidRPr="00775896">
        <w:rPr>
          <w:rFonts w:eastAsia="Arial Unicode MS"/>
          <w:b/>
          <w:sz w:val="30"/>
          <w:szCs w:val="30"/>
        </w:rPr>
        <w:t>M. RAMODIBEDI</w:t>
      </w:r>
    </w:p>
    <w:p w:rsidR="00E111B9" w:rsidRPr="00775896" w:rsidRDefault="00E111B9" w:rsidP="00E111B9">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CHIEF JUSTICE </w:t>
      </w:r>
    </w:p>
    <w:p w:rsidR="00E111B9" w:rsidRDefault="00E111B9" w:rsidP="00E111B9">
      <w:pPr>
        <w:spacing w:line="360" w:lineRule="auto"/>
        <w:jc w:val="both"/>
        <w:rPr>
          <w:rFonts w:eastAsia="Arial Unicode MS"/>
          <w:b/>
          <w:sz w:val="30"/>
          <w:szCs w:val="30"/>
        </w:rPr>
      </w:pPr>
    </w:p>
    <w:p w:rsidR="00F109FB" w:rsidRDefault="00F109FB" w:rsidP="00F109FB">
      <w:pPr>
        <w:spacing w:line="360" w:lineRule="auto"/>
        <w:jc w:val="both"/>
        <w:rPr>
          <w:rFonts w:eastAsia="Arial Unicode MS"/>
          <w:b/>
          <w:sz w:val="30"/>
          <w:szCs w:val="30"/>
        </w:rPr>
      </w:pPr>
    </w:p>
    <w:p w:rsidR="00F042D0" w:rsidRDefault="00F042D0" w:rsidP="00E111B9">
      <w:pPr>
        <w:spacing w:line="360" w:lineRule="auto"/>
        <w:ind w:left="720" w:hanging="720"/>
        <w:jc w:val="both"/>
        <w:rPr>
          <w:rFonts w:eastAsia="Arial Unicode MS"/>
          <w:b/>
          <w:sz w:val="30"/>
          <w:szCs w:val="30"/>
        </w:rPr>
      </w:pPr>
    </w:p>
    <w:p w:rsidR="00E111B9" w:rsidRPr="00775896" w:rsidRDefault="00E111B9" w:rsidP="00E111B9">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E111B9" w:rsidRPr="00775896" w:rsidRDefault="00E111B9" w:rsidP="00E111B9">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985DC2">
        <w:rPr>
          <w:rFonts w:eastAsia="Arial Unicode MS"/>
          <w:b/>
          <w:sz w:val="30"/>
          <w:szCs w:val="30"/>
        </w:rPr>
        <w:t xml:space="preserve">A.M. EBRAHIM </w:t>
      </w:r>
    </w:p>
    <w:p w:rsidR="00E111B9" w:rsidRPr="00775896" w:rsidRDefault="00E111B9" w:rsidP="00E111B9">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JUSTICE OF APPEAL </w:t>
      </w:r>
    </w:p>
    <w:p w:rsidR="004A1C51" w:rsidRDefault="004A1C51" w:rsidP="00E111B9">
      <w:pPr>
        <w:spacing w:line="360" w:lineRule="auto"/>
        <w:jc w:val="both"/>
        <w:rPr>
          <w:rFonts w:eastAsia="Arial Unicode MS"/>
          <w:b/>
          <w:sz w:val="30"/>
          <w:szCs w:val="30"/>
        </w:rPr>
      </w:pPr>
    </w:p>
    <w:p w:rsidR="00F109FB" w:rsidRDefault="00F109FB" w:rsidP="00E111B9">
      <w:pPr>
        <w:spacing w:line="360" w:lineRule="auto"/>
        <w:jc w:val="both"/>
        <w:rPr>
          <w:rFonts w:eastAsia="Arial Unicode MS"/>
          <w:b/>
          <w:sz w:val="30"/>
          <w:szCs w:val="30"/>
        </w:rPr>
      </w:pPr>
    </w:p>
    <w:p w:rsidR="00F042D0" w:rsidRDefault="00F042D0" w:rsidP="00E111B9">
      <w:pPr>
        <w:spacing w:line="360" w:lineRule="auto"/>
        <w:jc w:val="both"/>
        <w:rPr>
          <w:rFonts w:eastAsia="Arial Unicode MS"/>
          <w:b/>
          <w:sz w:val="30"/>
          <w:szCs w:val="30"/>
        </w:rPr>
      </w:pPr>
    </w:p>
    <w:p w:rsidR="00D04C82" w:rsidRDefault="00D04C82" w:rsidP="00E111B9">
      <w:pPr>
        <w:spacing w:line="360" w:lineRule="auto"/>
        <w:jc w:val="both"/>
        <w:rPr>
          <w:rFonts w:eastAsia="Arial Unicode MS"/>
          <w:b/>
          <w:sz w:val="30"/>
          <w:szCs w:val="30"/>
        </w:rPr>
      </w:pPr>
    </w:p>
    <w:p w:rsidR="00D04C82" w:rsidRDefault="00D04C82" w:rsidP="00E111B9">
      <w:pPr>
        <w:spacing w:line="360" w:lineRule="auto"/>
        <w:jc w:val="both"/>
        <w:rPr>
          <w:rFonts w:eastAsia="Arial Unicode MS"/>
          <w:b/>
          <w:sz w:val="30"/>
          <w:szCs w:val="30"/>
        </w:rPr>
      </w:pPr>
    </w:p>
    <w:p w:rsidR="00E111B9" w:rsidRDefault="00E111B9" w:rsidP="00E111B9">
      <w:pPr>
        <w:spacing w:line="360" w:lineRule="auto"/>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Pr>
          <w:rFonts w:eastAsia="Arial Unicode MS"/>
          <w:b/>
          <w:sz w:val="30"/>
          <w:szCs w:val="30"/>
        </w:rPr>
        <w:tab/>
        <w:t>MCB MAPHALALA</w:t>
      </w:r>
    </w:p>
    <w:p w:rsidR="00E111B9" w:rsidRPr="00775896" w:rsidRDefault="00E111B9" w:rsidP="00E111B9">
      <w:pPr>
        <w:spacing w:line="360" w:lineRule="auto"/>
        <w:jc w:val="both"/>
        <w:rPr>
          <w:rFonts w:eastAsia="Arial Unicode MS"/>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JUSTICE OF APPEAL</w:t>
      </w:r>
    </w:p>
    <w:p w:rsidR="00F109FB" w:rsidRDefault="00F109FB" w:rsidP="00F109FB">
      <w:pPr>
        <w:spacing w:line="360" w:lineRule="auto"/>
        <w:jc w:val="both"/>
        <w:rPr>
          <w:rFonts w:eastAsia="Arial Unicode MS"/>
          <w:b/>
          <w:sz w:val="30"/>
          <w:szCs w:val="30"/>
        </w:rPr>
      </w:pPr>
    </w:p>
    <w:p w:rsidR="00D04C82" w:rsidRDefault="00D04C82" w:rsidP="00F042D0">
      <w:pPr>
        <w:spacing w:line="360" w:lineRule="auto"/>
        <w:ind w:left="720" w:hanging="720"/>
        <w:jc w:val="both"/>
        <w:rPr>
          <w:rFonts w:eastAsia="Arial Unicode MS"/>
          <w:b/>
          <w:sz w:val="30"/>
          <w:szCs w:val="30"/>
        </w:rPr>
      </w:pPr>
    </w:p>
    <w:p w:rsidR="00F109FB" w:rsidRDefault="00E111B9" w:rsidP="00F042D0">
      <w:pPr>
        <w:spacing w:line="360" w:lineRule="auto"/>
        <w:ind w:left="720" w:hanging="720"/>
        <w:jc w:val="both"/>
        <w:rPr>
          <w:rFonts w:eastAsia="Arial Unicode MS"/>
          <w:b/>
          <w:sz w:val="30"/>
          <w:szCs w:val="30"/>
        </w:rPr>
      </w:pPr>
      <w:r>
        <w:rPr>
          <w:rFonts w:eastAsia="Arial Unicode MS"/>
          <w:b/>
          <w:sz w:val="30"/>
          <w:szCs w:val="30"/>
        </w:rPr>
        <w:t>For Appellant</w:t>
      </w:r>
      <w:r w:rsidR="009B019F">
        <w:rPr>
          <w:rFonts w:eastAsia="Arial Unicode MS"/>
          <w:b/>
          <w:sz w:val="30"/>
          <w:szCs w:val="30"/>
        </w:rPr>
        <w:t>s</w:t>
      </w:r>
      <w:r>
        <w:rPr>
          <w:rFonts w:eastAsia="Arial Unicode MS"/>
          <w:b/>
          <w:sz w:val="30"/>
          <w:szCs w:val="30"/>
        </w:rPr>
        <w:t xml:space="preserve"> </w:t>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sidR="009B019F">
        <w:rPr>
          <w:rFonts w:eastAsia="Arial Unicode MS"/>
          <w:b/>
          <w:sz w:val="30"/>
          <w:szCs w:val="30"/>
        </w:rPr>
        <w:t>Adv P.E. Flynn</w:t>
      </w:r>
      <w:r>
        <w:rPr>
          <w:rFonts w:eastAsia="Arial Unicode MS"/>
          <w:b/>
          <w:sz w:val="30"/>
          <w:szCs w:val="30"/>
        </w:rPr>
        <w:tab/>
      </w:r>
      <w:r>
        <w:rPr>
          <w:rFonts w:eastAsia="Arial Unicode MS"/>
          <w:b/>
          <w:sz w:val="30"/>
          <w:szCs w:val="30"/>
        </w:rPr>
        <w:tab/>
      </w:r>
      <w:r>
        <w:rPr>
          <w:rFonts w:eastAsia="Arial Unicode MS"/>
          <w:b/>
          <w:sz w:val="30"/>
          <w:szCs w:val="30"/>
        </w:rPr>
        <w:tab/>
      </w:r>
    </w:p>
    <w:p w:rsidR="00F042D0" w:rsidRDefault="00F042D0" w:rsidP="00E111B9">
      <w:pPr>
        <w:rPr>
          <w:rFonts w:eastAsia="Arial Unicode MS"/>
          <w:b/>
          <w:sz w:val="30"/>
          <w:szCs w:val="30"/>
        </w:rPr>
      </w:pPr>
    </w:p>
    <w:p w:rsidR="00E111B9" w:rsidRDefault="00E111B9" w:rsidP="00E111B9">
      <w:r w:rsidRPr="00775896">
        <w:rPr>
          <w:rFonts w:eastAsia="Arial Unicode MS"/>
          <w:b/>
          <w:sz w:val="30"/>
          <w:szCs w:val="30"/>
        </w:rPr>
        <w:t xml:space="preserve">For </w:t>
      </w:r>
      <w:r>
        <w:rPr>
          <w:rFonts w:eastAsia="Arial Unicode MS"/>
          <w:b/>
          <w:sz w:val="30"/>
          <w:szCs w:val="30"/>
        </w:rPr>
        <w:t>Respondent</w:t>
      </w:r>
      <w:r>
        <w:rPr>
          <w:rFonts w:eastAsia="Arial Unicode MS"/>
          <w:b/>
          <w:sz w:val="30"/>
          <w:szCs w:val="30"/>
        </w:rPr>
        <w:tab/>
      </w:r>
      <w:r>
        <w:rPr>
          <w:rFonts w:eastAsia="Arial Unicode MS"/>
          <w:b/>
          <w:sz w:val="30"/>
          <w:szCs w:val="30"/>
        </w:rPr>
        <w:tab/>
        <w:t xml:space="preserve">  </w:t>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proofErr w:type="spellStart"/>
      <w:r w:rsidR="009B019F">
        <w:rPr>
          <w:rFonts w:eastAsia="Arial Unicode MS"/>
          <w:b/>
          <w:sz w:val="30"/>
          <w:szCs w:val="30"/>
        </w:rPr>
        <w:t>Mr</w:t>
      </w:r>
      <w:proofErr w:type="spellEnd"/>
      <w:r w:rsidR="009B019F">
        <w:rPr>
          <w:rFonts w:eastAsia="Arial Unicode MS"/>
          <w:b/>
          <w:sz w:val="30"/>
          <w:szCs w:val="30"/>
        </w:rPr>
        <w:t xml:space="preserve"> M.E. </w:t>
      </w:r>
      <w:proofErr w:type="spellStart"/>
      <w:r w:rsidR="009B019F">
        <w:rPr>
          <w:rFonts w:eastAsia="Arial Unicode MS"/>
          <w:b/>
          <w:sz w:val="30"/>
          <w:szCs w:val="30"/>
        </w:rPr>
        <w:t>Simelane</w:t>
      </w:r>
      <w:proofErr w:type="spellEnd"/>
    </w:p>
    <w:p w:rsidR="00E111B9" w:rsidRDefault="00E111B9" w:rsidP="00E111B9"/>
    <w:p w:rsidR="00E111B9" w:rsidRDefault="00E111B9" w:rsidP="00E111B9"/>
    <w:p w:rsidR="00E111B9" w:rsidRDefault="00E111B9" w:rsidP="00E111B9"/>
    <w:p w:rsidR="00E111B9" w:rsidRDefault="00E111B9" w:rsidP="00E111B9"/>
    <w:p w:rsidR="00E111B9" w:rsidRDefault="00E111B9" w:rsidP="00E111B9">
      <w:pPr>
        <w:spacing w:line="480" w:lineRule="auto"/>
        <w:ind w:left="720" w:hanging="720"/>
        <w:jc w:val="both"/>
        <w:rPr>
          <w:rFonts w:eastAsia="Arial Unicode MS"/>
          <w:sz w:val="30"/>
          <w:szCs w:val="30"/>
        </w:rPr>
      </w:pPr>
    </w:p>
    <w:p w:rsidR="00E111B9" w:rsidRDefault="00E111B9" w:rsidP="00E111B9">
      <w:pPr>
        <w:spacing w:line="480" w:lineRule="auto"/>
        <w:ind w:left="720" w:hanging="720"/>
        <w:jc w:val="both"/>
        <w:rPr>
          <w:rFonts w:eastAsia="Arial Unicode MS"/>
          <w:sz w:val="30"/>
          <w:szCs w:val="30"/>
        </w:rPr>
      </w:pPr>
    </w:p>
    <w:p w:rsidR="00E111B9" w:rsidRDefault="00E111B9" w:rsidP="00E111B9">
      <w:pPr>
        <w:spacing w:line="480" w:lineRule="auto"/>
        <w:ind w:left="720" w:hanging="720"/>
        <w:jc w:val="both"/>
        <w:rPr>
          <w:rFonts w:eastAsia="Arial Unicode MS"/>
          <w:sz w:val="30"/>
          <w:szCs w:val="30"/>
        </w:rPr>
      </w:pPr>
    </w:p>
    <w:p w:rsidR="00E111B9" w:rsidRDefault="00E111B9" w:rsidP="00E111B9">
      <w:pPr>
        <w:spacing w:line="480" w:lineRule="auto"/>
        <w:ind w:left="720" w:hanging="720"/>
        <w:jc w:val="both"/>
        <w:rPr>
          <w:rFonts w:eastAsia="Arial Unicode MS"/>
          <w:sz w:val="30"/>
          <w:szCs w:val="30"/>
        </w:rPr>
      </w:pPr>
    </w:p>
    <w:p w:rsidR="00E111B9" w:rsidRDefault="00E111B9" w:rsidP="00E111B9">
      <w:pPr>
        <w:spacing w:line="480" w:lineRule="auto"/>
        <w:ind w:left="720" w:hanging="720"/>
        <w:jc w:val="both"/>
        <w:rPr>
          <w:rFonts w:eastAsia="Arial Unicode MS"/>
          <w:sz w:val="30"/>
          <w:szCs w:val="30"/>
        </w:rPr>
      </w:pPr>
    </w:p>
    <w:p w:rsidR="00E111B9" w:rsidRDefault="00E111B9" w:rsidP="00E111B9">
      <w:pPr>
        <w:spacing w:line="480" w:lineRule="auto"/>
        <w:ind w:left="720" w:hanging="720"/>
        <w:jc w:val="both"/>
        <w:rPr>
          <w:rFonts w:eastAsia="Arial Unicode MS"/>
          <w:sz w:val="30"/>
          <w:szCs w:val="30"/>
        </w:rPr>
      </w:pPr>
    </w:p>
    <w:p w:rsidR="00E111B9" w:rsidRDefault="00E111B9" w:rsidP="00E111B9"/>
    <w:p w:rsidR="00E111B9" w:rsidRDefault="00E111B9" w:rsidP="00E111B9"/>
    <w:p w:rsidR="00D61A7E" w:rsidRDefault="00D61A7E"/>
    <w:sectPr w:rsidR="00D61A7E" w:rsidSect="009D6B19">
      <w:footerReference w:type="default" r:id="rId9"/>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DD" w:rsidRDefault="002C7CDD" w:rsidP="00E111B9">
      <w:r>
        <w:separator/>
      </w:r>
    </w:p>
  </w:endnote>
  <w:endnote w:type="continuationSeparator" w:id="0">
    <w:p w:rsidR="002C7CDD" w:rsidRDefault="002C7CDD" w:rsidP="00E11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717"/>
      <w:docPartObj>
        <w:docPartGallery w:val="Page Numbers (Bottom of Page)"/>
        <w:docPartUnique/>
      </w:docPartObj>
    </w:sdtPr>
    <w:sdtContent>
      <w:p w:rsidR="007A21A6" w:rsidRDefault="005C6FE4">
        <w:pPr>
          <w:pStyle w:val="Footer"/>
          <w:jc w:val="center"/>
        </w:pPr>
        <w:fldSimple w:instr=" PAGE   \* MERGEFORMAT ">
          <w:r w:rsidR="00944A8A">
            <w:rPr>
              <w:noProof/>
            </w:rPr>
            <w:t>10</w:t>
          </w:r>
        </w:fldSimple>
      </w:p>
    </w:sdtContent>
  </w:sdt>
  <w:p w:rsidR="007A21A6" w:rsidRDefault="007A2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DD" w:rsidRDefault="002C7CDD" w:rsidP="00E111B9">
      <w:r>
        <w:separator/>
      </w:r>
    </w:p>
  </w:footnote>
  <w:footnote w:type="continuationSeparator" w:id="0">
    <w:p w:rsidR="002C7CDD" w:rsidRDefault="002C7CDD" w:rsidP="00E11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F23"/>
    <w:multiLevelType w:val="hybridMultilevel"/>
    <w:tmpl w:val="AF4A3FE6"/>
    <w:lvl w:ilvl="0" w:tplc="71B6E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D93056"/>
    <w:multiLevelType w:val="hybridMultilevel"/>
    <w:tmpl w:val="09D6C7C2"/>
    <w:lvl w:ilvl="0" w:tplc="F1D2B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076F6F"/>
    <w:multiLevelType w:val="hybridMultilevel"/>
    <w:tmpl w:val="FA88BBF4"/>
    <w:lvl w:ilvl="0" w:tplc="BE1CE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02676C"/>
    <w:multiLevelType w:val="hybridMultilevel"/>
    <w:tmpl w:val="7BD0529A"/>
    <w:lvl w:ilvl="0" w:tplc="37F06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E5602B"/>
    <w:multiLevelType w:val="hybridMultilevel"/>
    <w:tmpl w:val="B0C4FD86"/>
    <w:lvl w:ilvl="0" w:tplc="11A2B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F1263D"/>
    <w:multiLevelType w:val="hybridMultilevel"/>
    <w:tmpl w:val="02FAA66C"/>
    <w:lvl w:ilvl="0" w:tplc="9C6C4C2E">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0878CA"/>
    <w:multiLevelType w:val="hybridMultilevel"/>
    <w:tmpl w:val="AE08DC24"/>
    <w:lvl w:ilvl="0" w:tplc="9CC82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11B9"/>
    <w:rsid w:val="0001356F"/>
    <w:rsid w:val="00061726"/>
    <w:rsid w:val="000777BD"/>
    <w:rsid w:val="000A112A"/>
    <w:rsid w:val="000C4E83"/>
    <w:rsid w:val="000D5233"/>
    <w:rsid w:val="00146845"/>
    <w:rsid w:val="00195733"/>
    <w:rsid w:val="001E2872"/>
    <w:rsid w:val="002066B1"/>
    <w:rsid w:val="00223FAE"/>
    <w:rsid w:val="00232836"/>
    <w:rsid w:val="002532A1"/>
    <w:rsid w:val="00253D0E"/>
    <w:rsid w:val="0025483B"/>
    <w:rsid w:val="002904D0"/>
    <w:rsid w:val="00293709"/>
    <w:rsid w:val="002B1050"/>
    <w:rsid w:val="002B26A4"/>
    <w:rsid w:val="002C7CDD"/>
    <w:rsid w:val="00302851"/>
    <w:rsid w:val="00310BEE"/>
    <w:rsid w:val="00320795"/>
    <w:rsid w:val="00340D3B"/>
    <w:rsid w:val="003F46AC"/>
    <w:rsid w:val="00415580"/>
    <w:rsid w:val="00416C0D"/>
    <w:rsid w:val="004351F2"/>
    <w:rsid w:val="00483C6D"/>
    <w:rsid w:val="004A1C51"/>
    <w:rsid w:val="004D0220"/>
    <w:rsid w:val="004E415B"/>
    <w:rsid w:val="00506ADC"/>
    <w:rsid w:val="0053271D"/>
    <w:rsid w:val="005604E5"/>
    <w:rsid w:val="0056630A"/>
    <w:rsid w:val="005B2DE2"/>
    <w:rsid w:val="005C6FE4"/>
    <w:rsid w:val="005D0D72"/>
    <w:rsid w:val="005D11BA"/>
    <w:rsid w:val="0067233B"/>
    <w:rsid w:val="006B3BDF"/>
    <w:rsid w:val="006D77D8"/>
    <w:rsid w:val="006F5E4F"/>
    <w:rsid w:val="00704BF1"/>
    <w:rsid w:val="007323CE"/>
    <w:rsid w:val="007751DF"/>
    <w:rsid w:val="007A21A6"/>
    <w:rsid w:val="00813C24"/>
    <w:rsid w:val="00822757"/>
    <w:rsid w:val="008436CF"/>
    <w:rsid w:val="00855311"/>
    <w:rsid w:val="00857834"/>
    <w:rsid w:val="008649D2"/>
    <w:rsid w:val="008745C0"/>
    <w:rsid w:val="008D3B6E"/>
    <w:rsid w:val="008D5F0D"/>
    <w:rsid w:val="008E0D1B"/>
    <w:rsid w:val="008E3DBC"/>
    <w:rsid w:val="0091420E"/>
    <w:rsid w:val="00944A8A"/>
    <w:rsid w:val="0096301D"/>
    <w:rsid w:val="00971E10"/>
    <w:rsid w:val="00985DC2"/>
    <w:rsid w:val="009B019F"/>
    <w:rsid w:val="009C1066"/>
    <w:rsid w:val="009D6B19"/>
    <w:rsid w:val="00A318B3"/>
    <w:rsid w:val="00A32B51"/>
    <w:rsid w:val="00AC6A9A"/>
    <w:rsid w:val="00AE1058"/>
    <w:rsid w:val="00B05920"/>
    <w:rsid w:val="00B20014"/>
    <w:rsid w:val="00B3428E"/>
    <w:rsid w:val="00B47B15"/>
    <w:rsid w:val="00B61B79"/>
    <w:rsid w:val="00BA14AF"/>
    <w:rsid w:val="00BA2B15"/>
    <w:rsid w:val="00BA708F"/>
    <w:rsid w:val="00BC1F63"/>
    <w:rsid w:val="00BE4644"/>
    <w:rsid w:val="00BE6C47"/>
    <w:rsid w:val="00C017FA"/>
    <w:rsid w:val="00C06423"/>
    <w:rsid w:val="00C41370"/>
    <w:rsid w:val="00C60616"/>
    <w:rsid w:val="00C61B69"/>
    <w:rsid w:val="00C845FC"/>
    <w:rsid w:val="00C87EC6"/>
    <w:rsid w:val="00C96296"/>
    <w:rsid w:val="00CC3371"/>
    <w:rsid w:val="00CF33A5"/>
    <w:rsid w:val="00D04C82"/>
    <w:rsid w:val="00D32D9B"/>
    <w:rsid w:val="00D42769"/>
    <w:rsid w:val="00D45490"/>
    <w:rsid w:val="00D60C81"/>
    <w:rsid w:val="00D61A7E"/>
    <w:rsid w:val="00D70879"/>
    <w:rsid w:val="00D75AE7"/>
    <w:rsid w:val="00D82C33"/>
    <w:rsid w:val="00DB068A"/>
    <w:rsid w:val="00E002D4"/>
    <w:rsid w:val="00E111B9"/>
    <w:rsid w:val="00E13E15"/>
    <w:rsid w:val="00E459C6"/>
    <w:rsid w:val="00E931E2"/>
    <w:rsid w:val="00EA2B98"/>
    <w:rsid w:val="00EE16C9"/>
    <w:rsid w:val="00EE1C8A"/>
    <w:rsid w:val="00EE5256"/>
    <w:rsid w:val="00F042D0"/>
    <w:rsid w:val="00F109FB"/>
    <w:rsid w:val="00F139DB"/>
    <w:rsid w:val="00F20784"/>
    <w:rsid w:val="00F327C9"/>
    <w:rsid w:val="00F41100"/>
    <w:rsid w:val="00F92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1B9"/>
    <w:pPr>
      <w:ind w:left="720"/>
      <w:contextualSpacing/>
    </w:pPr>
  </w:style>
  <w:style w:type="paragraph" w:styleId="Footer">
    <w:name w:val="footer"/>
    <w:basedOn w:val="Normal"/>
    <w:link w:val="FooterChar"/>
    <w:uiPriority w:val="99"/>
    <w:unhideWhenUsed/>
    <w:rsid w:val="00E111B9"/>
    <w:pPr>
      <w:tabs>
        <w:tab w:val="center" w:pos="4680"/>
        <w:tab w:val="right" w:pos="9360"/>
      </w:tabs>
    </w:pPr>
  </w:style>
  <w:style w:type="character" w:customStyle="1" w:styleId="FooterChar">
    <w:name w:val="Footer Char"/>
    <w:basedOn w:val="DefaultParagraphFont"/>
    <w:link w:val="Footer"/>
    <w:uiPriority w:val="99"/>
    <w:rsid w:val="00E111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1B9"/>
    <w:rPr>
      <w:rFonts w:ascii="Tahoma" w:hAnsi="Tahoma" w:cs="Tahoma"/>
      <w:sz w:val="16"/>
      <w:szCs w:val="16"/>
    </w:rPr>
  </w:style>
  <w:style w:type="character" w:customStyle="1" w:styleId="BalloonTextChar">
    <w:name w:val="Balloon Text Char"/>
    <w:basedOn w:val="DefaultParagraphFont"/>
    <w:link w:val="BalloonText"/>
    <w:uiPriority w:val="99"/>
    <w:semiHidden/>
    <w:rsid w:val="00E111B9"/>
    <w:rPr>
      <w:rFonts w:ascii="Tahoma" w:eastAsia="Times New Roman" w:hAnsi="Tahoma" w:cs="Tahoma"/>
      <w:sz w:val="16"/>
      <w:szCs w:val="16"/>
    </w:rPr>
  </w:style>
  <w:style w:type="paragraph" w:styleId="Header">
    <w:name w:val="header"/>
    <w:basedOn w:val="Normal"/>
    <w:link w:val="HeaderChar"/>
    <w:uiPriority w:val="99"/>
    <w:semiHidden/>
    <w:unhideWhenUsed/>
    <w:rsid w:val="00E111B9"/>
    <w:pPr>
      <w:tabs>
        <w:tab w:val="center" w:pos="4680"/>
        <w:tab w:val="right" w:pos="9360"/>
      </w:tabs>
    </w:pPr>
  </w:style>
  <w:style w:type="character" w:customStyle="1" w:styleId="HeaderChar">
    <w:name w:val="Header Char"/>
    <w:basedOn w:val="DefaultParagraphFont"/>
    <w:link w:val="Header"/>
    <w:uiPriority w:val="99"/>
    <w:semiHidden/>
    <w:rsid w:val="00E111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88FD4-0FFB-4D03-960B-2ABEEE58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13</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The Chief Justice</cp:lastModifiedBy>
  <cp:revision>99</cp:revision>
  <cp:lastPrinted>2014-05-27T07:54:00Z</cp:lastPrinted>
  <dcterms:created xsi:type="dcterms:W3CDTF">2014-05-21T07:34:00Z</dcterms:created>
  <dcterms:modified xsi:type="dcterms:W3CDTF">2014-05-27T07:57:00Z</dcterms:modified>
</cp:coreProperties>
</file>