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00" w:rsidRDefault="00D95700" w:rsidP="00D95700">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D95700" w:rsidRPr="00A14D8D" w:rsidRDefault="00D95700" w:rsidP="00D95700">
      <w:pPr>
        <w:jc w:val="center"/>
        <w:rPr>
          <w:rFonts w:ascii="Bookman Old Style" w:eastAsia="Arial Unicode MS" w:hAnsi="Bookman Old Style" w:cs="Arial Unicode MS"/>
        </w:rPr>
      </w:pPr>
    </w:p>
    <w:p w:rsidR="00D95700" w:rsidRPr="00775896" w:rsidRDefault="00D95700" w:rsidP="00D95700">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D95700" w:rsidRPr="00775896" w:rsidRDefault="00D95700" w:rsidP="00D95700">
      <w:pPr>
        <w:jc w:val="center"/>
        <w:rPr>
          <w:rFonts w:eastAsia="Arial Unicode MS"/>
          <w:sz w:val="30"/>
          <w:szCs w:val="30"/>
        </w:rPr>
      </w:pPr>
    </w:p>
    <w:p w:rsidR="00D95700" w:rsidRPr="000E275C" w:rsidRDefault="00D95700" w:rsidP="00D95700">
      <w:pPr>
        <w:jc w:val="both"/>
        <w:rPr>
          <w:rFonts w:eastAsia="Arial Unicode MS"/>
          <w:b/>
          <w:sz w:val="30"/>
          <w:szCs w:val="30"/>
        </w:rPr>
      </w:pPr>
      <w:r w:rsidRPr="000E275C">
        <w:rPr>
          <w:rFonts w:eastAsia="Arial Unicode MS"/>
          <w:b/>
          <w:sz w:val="30"/>
          <w:szCs w:val="30"/>
        </w:rPr>
        <w:t>HELD AT MBABANE</w:t>
      </w:r>
    </w:p>
    <w:p w:rsidR="00D95700" w:rsidRPr="00775896" w:rsidRDefault="00D95700" w:rsidP="00D95700">
      <w:pPr>
        <w:jc w:val="both"/>
        <w:rPr>
          <w:rFonts w:eastAsia="Arial Unicode MS"/>
          <w:sz w:val="30"/>
          <w:szCs w:val="30"/>
        </w:rPr>
      </w:pPr>
    </w:p>
    <w:p w:rsidR="00D95700" w:rsidRPr="00775896" w:rsidRDefault="00D95700" w:rsidP="00D95700">
      <w:pPr>
        <w:jc w:val="center"/>
        <w:rPr>
          <w:rFonts w:eastAsia="Arial Unicode MS"/>
          <w:b/>
          <w:sz w:val="30"/>
          <w:szCs w:val="30"/>
        </w:rPr>
      </w:pPr>
      <w:r w:rsidRPr="00775896">
        <w:rPr>
          <w:rFonts w:eastAsia="Arial Unicode MS"/>
          <w:b/>
          <w:sz w:val="30"/>
          <w:szCs w:val="30"/>
        </w:rPr>
        <w:t xml:space="preserve">JUDGMENT </w:t>
      </w:r>
    </w:p>
    <w:p w:rsidR="00D95700" w:rsidRPr="00775896" w:rsidRDefault="00D95700" w:rsidP="00D95700">
      <w:pPr>
        <w:rPr>
          <w:rFonts w:eastAsia="Arial Unicode MS"/>
          <w:b/>
          <w:sz w:val="30"/>
          <w:szCs w:val="30"/>
        </w:rPr>
      </w:pPr>
    </w:p>
    <w:p w:rsidR="00D95700" w:rsidRPr="00775896" w:rsidRDefault="00D95700" w:rsidP="00D95700">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28</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4</w:t>
      </w:r>
    </w:p>
    <w:p w:rsidR="00D95700" w:rsidRPr="00775896" w:rsidRDefault="00D95700" w:rsidP="00D95700">
      <w:pPr>
        <w:jc w:val="both"/>
        <w:rPr>
          <w:rFonts w:eastAsia="Arial Unicode MS"/>
          <w:b/>
          <w:sz w:val="30"/>
          <w:szCs w:val="30"/>
          <w:u w:val="single"/>
        </w:rPr>
      </w:pPr>
    </w:p>
    <w:p w:rsidR="00D95700" w:rsidRPr="00775896" w:rsidRDefault="00D95700" w:rsidP="00D95700">
      <w:pPr>
        <w:jc w:val="both"/>
        <w:rPr>
          <w:rFonts w:eastAsia="Arial Unicode MS"/>
          <w:b/>
          <w:sz w:val="30"/>
          <w:szCs w:val="30"/>
        </w:rPr>
      </w:pPr>
    </w:p>
    <w:p w:rsidR="00D95700" w:rsidRPr="00775896" w:rsidRDefault="00D95700" w:rsidP="00D95700">
      <w:pPr>
        <w:jc w:val="both"/>
        <w:rPr>
          <w:rFonts w:eastAsia="Arial Unicode MS"/>
          <w:b/>
          <w:sz w:val="30"/>
          <w:szCs w:val="30"/>
        </w:rPr>
      </w:pPr>
      <w:r w:rsidRPr="00775896">
        <w:rPr>
          <w:rFonts w:eastAsia="Arial Unicode MS"/>
          <w:b/>
          <w:sz w:val="30"/>
          <w:szCs w:val="30"/>
        </w:rPr>
        <w:t>In the matter between</w:t>
      </w:r>
    </w:p>
    <w:p w:rsidR="00D95700" w:rsidRPr="00775896" w:rsidRDefault="00D95700" w:rsidP="00D95700">
      <w:pPr>
        <w:jc w:val="both"/>
        <w:rPr>
          <w:rFonts w:eastAsia="Arial Unicode MS"/>
          <w:b/>
          <w:sz w:val="30"/>
          <w:szCs w:val="30"/>
        </w:rPr>
      </w:pPr>
    </w:p>
    <w:p w:rsidR="00D95700" w:rsidRPr="00437011" w:rsidRDefault="00D95700" w:rsidP="00D95700">
      <w:pPr>
        <w:jc w:val="both"/>
        <w:rPr>
          <w:rFonts w:eastAsia="Arial Unicode MS"/>
          <w:b/>
          <w:sz w:val="30"/>
          <w:szCs w:val="30"/>
        </w:rPr>
      </w:pPr>
      <w:r>
        <w:rPr>
          <w:rFonts w:eastAsia="Arial Unicode MS"/>
          <w:b/>
          <w:sz w:val="30"/>
          <w:szCs w:val="30"/>
        </w:rPr>
        <w:t xml:space="preserve">MARGARET MALAZA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Pr="00437011">
        <w:rPr>
          <w:rFonts w:eastAsia="Arial Unicode MS"/>
          <w:b/>
          <w:sz w:val="30"/>
          <w:szCs w:val="30"/>
        </w:rPr>
        <w:t>Appellant</w:t>
      </w:r>
    </w:p>
    <w:p w:rsidR="00D95700" w:rsidRDefault="00D95700" w:rsidP="00D95700">
      <w:pPr>
        <w:jc w:val="both"/>
        <w:rPr>
          <w:rFonts w:eastAsia="Arial Unicode MS"/>
          <w:b/>
          <w:sz w:val="30"/>
          <w:szCs w:val="30"/>
        </w:rPr>
      </w:pPr>
    </w:p>
    <w:p w:rsidR="00D95700" w:rsidRDefault="00D95700" w:rsidP="00D95700">
      <w:pPr>
        <w:jc w:val="both"/>
        <w:rPr>
          <w:rFonts w:eastAsia="Arial Unicode MS"/>
          <w:b/>
          <w:sz w:val="30"/>
          <w:szCs w:val="30"/>
        </w:rPr>
      </w:pPr>
    </w:p>
    <w:p w:rsidR="00D95700" w:rsidRDefault="00D95700" w:rsidP="00D95700">
      <w:pPr>
        <w:jc w:val="both"/>
        <w:rPr>
          <w:rFonts w:eastAsia="Arial Unicode MS"/>
          <w:b/>
          <w:sz w:val="30"/>
          <w:szCs w:val="30"/>
        </w:rPr>
      </w:pPr>
      <w:r>
        <w:rPr>
          <w:rFonts w:eastAsia="Arial Unicode MS"/>
          <w:b/>
          <w:sz w:val="30"/>
          <w:szCs w:val="30"/>
        </w:rPr>
        <w:t xml:space="preserve">And </w:t>
      </w:r>
    </w:p>
    <w:p w:rsidR="00D95700" w:rsidRDefault="00D95700" w:rsidP="00D95700">
      <w:pPr>
        <w:jc w:val="both"/>
        <w:rPr>
          <w:rFonts w:eastAsia="Arial Unicode MS"/>
          <w:b/>
          <w:sz w:val="30"/>
          <w:szCs w:val="30"/>
        </w:rPr>
      </w:pPr>
    </w:p>
    <w:p w:rsidR="00D95700" w:rsidRDefault="00D95700" w:rsidP="00D95700">
      <w:pPr>
        <w:jc w:val="both"/>
        <w:rPr>
          <w:rFonts w:eastAsia="Arial Unicode MS"/>
          <w:b/>
          <w:sz w:val="30"/>
          <w:szCs w:val="30"/>
        </w:rPr>
      </w:pPr>
    </w:p>
    <w:p w:rsidR="00D95700" w:rsidRDefault="00D95700" w:rsidP="00D95700">
      <w:pPr>
        <w:jc w:val="both"/>
        <w:rPr>
          <w:rFonts w:eastAsia="Arial Unicode MS"/>
          <w:b/>
          <w:sz w:val="30"/>
          <w:szCs w:val="30"/>
        </w:rPr>
      </w:pPr>
      <w:r>
        <w:rPr>
          <w:rFonts w:eastAsia="Arial Unicode MS"/>
          <w:b/>
          <w:sz w:val="30"/>
          <w:szCs w:val="30"/>
        </w:rPr>
        <w:t xml:space="preserve">JAHA MALAZA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Respondent</w:t>
      </w:r>
    </w:p>
    <w:p w:rsidR="00D95700" w:rsidRPr="00775896" w:rsidRDefault="00D95700" w:rsidP="00D95700">
      <w:pPr>
        <w:jc w:val="both"/>
        <w:rPr>
          <w:rFonts w:eastAsia="Arial Unicode MS"/>
          <w:b/>
          <w:sz w:val="30"/>
          <w:szCs w:val="30"/>
        </w:rPr>
      </w:pPr>
      <w:r w:rsidRPr="00775896">
        <w:rPr>
          <w:rFonts w:eastAsia="Arial Unicode MS"/>
          <w:b/>
          <w:sz w:val="30"/>
          <w:szCs w:val="30"/>
        </w:rPr>
        <w:br/>
      </w:r>
    </w:p>
    <w:p w:rsidR="00D95700" w:rsidRPr="00775896" w:rsidRDefault="00D95700" w:rsidP="00D95700">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sz w:val="30"/>
          <w:szCs w:val="30"/>
        </w:rPr>
        <w:t xml:space="preserve">Margaret Malaza </w:t>
      </w:r>
      <w:r w:rsidRPr="00775896">
        <w:rPr>
          <w:rFonts w:eastAsia="Arial Unicode MS"/>
          <w:i/>
          <w:sz w:val="30"/>
          <w:szCs w:val="30"/>
        </w:rPr>
        <w:t xml:space="preserve">v </w:t>
      </w:r>
      <w:r>
        <w:rPr>
          <w:rFonts w:eastAsia="Arial Unicode MS"/>
          <w:i/>
          <w:sz w:val="30"/>
          <w:szCs w:val="30"/>
        </w:rPr>
        <w:t xml:space="preserve">Jaha Malaza </w:t>
      </w:r>
      <w:r w:rsidRPr="00775896">
        <w:rPr>
          <w:rFonts w:eastAsia="Arial Unicode MS"/>
          <w:i/>
          <w:sz w:val="30"/>
          <w:szCs w:val="30"/>
        </w:rPr>
        <w:t>(</w:t>
      </w:r>
      <w:r>
        <w:rPr>
          <w:rFonts w:eastAsia="Arial Unicode MS"/>
          <w:i/>
          <w:sz w:val="30"/>
          <w:szCs w:val="30"/>
        </w:rPr>
        <w:t>28</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4</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Pr>
          <w:rFonts w:eastAsia="Arial Unicode MS"/>
          <w:sz w:val="30"/>
          <w:szCs w:val="30"/>
        </w:rPr>
        <w:t>63</w:t>
      </w:r>
      <w:r w:rsidRPr="00775896">
        <w:rPr>
          <w:rFonts w:eastAsia="Arial Unicode MS"/>
          <w:sz w:val="30"/>
          <w:szCs w:val="30"/>
        </w:rPr>
        <w:t xml:space="preserve"> (</w:t>
      </w:r>
      <w:r>
        <w:rPr>
          <w:rFonts w:eastAsia="Arial Unicode MS"/>
          <w:sz w:val="30"/>
          <w:szCs w:val="30"/>
        </w:rPr>
        <w:t>3</w:t>
      </w:r>
      <w:r w:rsidRPr="00775896">
        <w:rPr>
          <w:rFonts w:eastAsia="Arial Unicode MS"/>
          <w:sz w:val="30"/>
          <w:szCs w:val="30"/>
        </w:rPr>
        <w:t xml:space="preserve"> </w:t>
      </w:r>
      <w:r>
        <w:rPr>
          <w:rFonts w:eastAsia="Arial Unicode MS"/>
          <w:sz w:val="30"/>
          <w:szCs w:val="30"/>
        </w:rPr>
        <w:t xml:space="preserve">December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D95700" w:rsidRPr="00775896" w:rsidRDefault="00D95700" w:rsidP="00D95700">
      <w:pPr>
        <w:ind w:left="2880" w:hanging="2880"/>
        <w:jc w:val="both"/>
        <w:rPr>
          <w:rFonts w:eastAsia="Arial Unicode MS"/>
          <w:i/>
          <w:sz w:val="30"/>
          <w:szCs w:val="30"/>
        </w:rPr>
      </w:pPr>
    </w:p>
    <w:p w:rsidR="00D95700" w:rsidRPr="002B737D" w:rsidRDefault="00D95700" w:rsidP="00D95700">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MCB MAPHALALA JA and DR ODOKI </w:t>
      </w:r>
      <w:r w:rsidRPr="00775896">
        <w:rPr>
          <w:rFonts w:eastAsia="Arial Unicode MS"/>
          <w:sz w:val="30"/>
          <w:szCs w:val="30"/>
        </w:rPr>
        <w:t>JA</w:t>
      </w:r>
    </w:p>
    <w:p w:rsidR="00D95700" w:rsidRDefault="00D95700" w:rsidP="00D95700">
      <w:pPr>
        <w:jc w:val="both"/>
        <w:rPr>
          <w:rFonts w:eastAsia="Arial Unicode MS"/>
          <w:b/>
          <w:sz w:val="30"/>
          <w:szCs w:val="30"/>
        </w:rPr>
      </w:pPr>
    </w:p>
    <w:p w:rsidR="00D95700" w:rsidRPr="00775896" w:rsidRDefault="00D95700" w:rsidP="00D95700">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D95700">
        <w:rPr>
          <w:rFonts w:eastAsia="Arial Unicode MS"/>
          <w:sz w:val="30"/>
          <w:szCs w:val="30"/>
        </w:rPr>
        <w:t>1</w:t>
      </w:r>
      <w:r w:rsidRPr="00723739">
        <w:rPr>
          <w:rFonts w:eastAsia="Arial Unicode MS"/>
          <w:sz w:val="30"/>
          <w:szCs w:val="30"/>
        </w:rPr>
        <w:t>2</w:t>
      </w:r>
      <w:r w:rsidRPr="00FE106B">
        <w:rPr>
          <w:rFonts w:eastAsia="Arial Unicode MS"/>
          <w:sz w:val="30"/>
          <w:szCs w:val="30"/>
        </w:rPr>
        <w:t xml:space="preserve"> NOVEMBER 201</w:t>
      </w:r>
      <w:r>
        <w:rPr>
          <w:rFonts w:eastAsia="Arial Unicode MS"/>
          <w:sz w:val="30"/>
          <w:szCs w:val="30"/>
        </w:rPr>
        <w:t>4</w:t>
      </w:r>
      <w:r w:rsidRPr="00775896">
        <w:rPr>
          <w:rFonts w:eastAsia="Arial Unicode MS"/>
          <w:b/>
          <w:sz w:val="30"/>
          <w:szCs w:val="30"/>
        </w:rPr>
        <w:tab/>
      </w:r>
      <w:r w:rsidRPr="00775896">
        <w:rPr>
          <w:rFonts w:eastAsia="Arial Unicode MS"/>
          <w:b/>
          <w:sz w:val="30"/>
          <w:szCs w:val="30"/>
        </w:rPr>
        <w:tab/>
      </w:r>
    </w:p>
    <w:p w:rsidR="00D95700" w:rsidRPr="00775896" w:rsidRDefault="00D95700" w:rsidP="00D95700">
      <w:pPr>
        <w:ind w:left="2880" w:hanging="2880"/>
        <w:jc w:val="both"/>
        <w:rPr>
          <w:rFonts w:eastAsia="Arial Unicode MS"/>
          <w:b/>
          <w:sz w:val="30"/>
          <w:szCs w:val="30"/>
        </w:rPr>
      </w:pPr>
    </w:p>
    <w:p w:rsidR="00D95700" w:rsidRPr="00FE106B" w:rsidRDefault="00D95700" w:rsidP="00D95700">
      <w:pPr>
        <w:ind w:left="2880" w:hanging="2880"/>
        <w:jc w:val="both"/>
        <w:rPr>
          <w:rFonts w:eastAsia="Arial Unicode MS"/>
          <w:sz w:val="30"/>
          <w:szCs w:val="30"/>
        </w:rPr>
      </w:pPr>
      <w:r w:rsidRPr="00775896">
        <w:rPr>
          <w:rFonts w:eastAsia="Arial Unicode MS"/>
          <w:b/>
          <w:sz w:val="30"/>
          <w:szCs w:val="30"/>
        </w:rPr>
        <w:t>Delivered:</w:t>
      </w:r>
      <w:r w:rsidRPr="00775896">
        <w:rPr>
          <w:rFonts w:eastAsia="Arial Unicode MS"/>
          <w:b/>
          <w:sz w:val="30"/>
          <w:szCs w:val="30"/>
        </w:rPr>
        <w:tab/>
      </w:r>
      <w:r w:rsidR="000357BC">
        <w:rPr>
          <w:rFonts w:eastAsia="Arial Unicode MS"/>
          <w:b/>
          <w:sz w:val="30"/>
          <w:szCs w:val="30"/>
        </w:rPr>
        <w:t xml:space="preserve">  </w:t>
      </w:r>
      <w:r w:rsidR="000357BC" w:rsidRPr="0064625B">
        <w:rPr>
          <w:rFonts w:eastAsia="Arial Unicode MS"/>
          <w:sz w:val="30"/>
          <w:szCs w:val="30"/>
        </w:rPr>
        <w:t>3</w:t>
      </w:r>
      <w:r w:rsidR="000357BC">
        <w:rPr>
          <w:rFonts w:eastAsia="Arial Unicode MS"/>
          <w:sz w:val="30"/>
          <w:szCs w:val="30"/>
        </w:rPr>
        <w:t xml:space="preserve"> </w:t>
      </w:r>
      <w:r w:rsidR="000357BC" w:rsidRPr="0064625B">
        <w:rPr>
          <w:rFonts w:eastAsia="Arial Unicode MS"/>
          <w:sz w:val="30"/>
          <w:szCs w:val="30"/>
        </w:rPr>
        <w:t>DECEMBER</w:t>
      </w:r>
      <w:r>
        <w:rPr>
          <w:rFonts w:eastAsia="Arial Unicode MS"/>
          <w:sz w:val="30"/>
          <w:szCs w:val="30"/>
        </w:rPr>
        <w:t xml:space="preserve"> </w:t>
      </w:r>
      <w:r w:rsidRPr="00FE106B">
        <w:rPr>
          <w:rFonts w:eastAsia="Arial Unicode MS"/>
          <w:sz w:val="30"/>
          <w:szCs w:val="30"/>
        </w:rPr>
        <w:t>201</w:t>
      </w:r>
      <w:r>
        <w:rPr>
          <w:rFonts w:eastAsia="Arial Unicode MS"/>
          <w:sz w:val="30"/>
          <w:szCs w:val="30"/>
        </w:rPr>
        <w:t>4</w:t>
      </w:r>
    </w:p>
    <w:p w:rsidR="00D95700" w:rsidRPr="00775896" w:rsidRDefault="00D95700" w:rsidP="00D95700">
      <w:pPr>
        <w:ind w:left="2880" w:hanging="2880"/>
        <w:jc w:val="both"/>
        <w:rPr>
          <w:rFonts w:eastAsia="Arial Unicode MS"/>
          <w:b/>
          <w:sz w:val="30"/>
          <w:szCs w:val="30"/>
        </w:rPr>
      </w:pPr>
    </w:p>
    <w:p w:rsidR="00D95700" w:rsidRDefault="00D95700" w:rsidP="00D95700">
      <w:pPr>
        <w:ind w:left="2880" w:hanging="2880"/>
        <w:jc w:val="both"/>
        <w:rPr>
          <w:rFonts w:eastAsia="Arial Unicode MS"/>
          <w:b/>
          <w:sz w:val="30"/>
          <w:szCs w:val="30"/>
        </w:rPr>
      </w:pPr>
      <w:r w:rsidRPr="00775896">
        <w:rPr>
          <w:rFonts w:eastAsia="Arial Unicode MS"/>
          <w:b/>
          <w:sz w:val="30"/>
          <w:szCs w:val="30"/>
        </w:rPr>
        <w:lastRenderedPageBreak/>
        <w:t>Summary:</w:t>
      </w:r>
      <w:r w:rsidRPr="00775896">
        <w:rPr>
          <w:rFonts w:eastAsia="Arial Unicode MS"/>
          <w:b/>
          <w:sz w:val="30"/>
          <w:szCs w:val="30"/>
        </w:rPr>
        <w:tab/>
      </w:r>
      <w:r w:rsidR="006B405B">
        <w:rPr>
          <w:rFonts w:eastAsia="Arial Unicode MS"/>
          <w:b/>
          <w:sz w:val="30"/>
          <w:szCs w:val="30"/>
        </w:rPr>
        <w:t xml:space="preserve">Appeal – </w:t>
      </w:r>
      <w:r>
        <w:rPr>
          <w:rFonts w:eastAsia="Arial Unicode MS"/>
          <w:b/>
          <w:sz w:val="30"/>
          <w:szCs w:val="30"/>
        </w:rPr>
        <w:t xml:space="preserve">Application for </w:t>
      </w:r>
      <w:proofErr w:type="spellStart"/>
      <w:r>
        <w:rPr>
          <w:rFonts w:eastAsia="Arial Unicode MS"/>
          <w:b/>
          <w:sz w:val="30"/>
          <w:szCs w:val="30"/>
        </w:rPr>
        <w:t>condonation</w:t>
      </w:r>
      <w:proofErr w:type="spellEnd"/>
      <w:r>
        <w:rPr>
          <w:rFonts w:eastAsia="Arial Unicode MS"/>
          <w:b/>
          <w:sz w:val="30"/>
          <w:szCs w:val="30"/>
        </w:rPr>
        <w:t xml:space="preserve"> of the late filing of appeal and </w:t>
      </w:r>
      <w:r w:rsidR="00DA1C44">
        <w:rPr>
          <w:rFonts w:eastAsia="Arial Unicode MS"/>
          <w:b/>
          <w:sz w:val="30"/>
          <w:szCs w:val="30"/>
        </w:rPr>
        <w:t xml:space="preserve">leave to appeal out of </w:t>
      </w:r>
      <w:r>
        <w:rPr>
          <w:rFonts w:eastAsia="Arial Unicode MS"/>
          <w:b/>
          <w:sz w:val="30"/>
          <w:szCs w:val="30"/>
        </w:rPr>
        <w:t>time</w:t>
      </w:r>
      <w:r w:rsidR="006B405B">
        <w:rPr>
          <w:rFonts w:eastAsia="Arial Unicode MS"/>
          <w:b/>
          <w:sz w:val="30"/>
          <w:szCs w:val="30"/>
        </w:rPr>
        <w:t xml:space="preserve"> –</w:t>
      </w:r>
      <w:r>
        <w:rPr>
          <w:rFonts w:eastAsia="Arial Unicode MS"/>
          <w:b/>
          <w:sz w:val="30"/>
          <w:szCs w:val="30"/>
        </w:rPr>
        <w:t xml:space="preserve"> Flagrant disregard of the Rules of Court – No prospects of success on appeal – Application dismissed with costs.</w:t>
      </w:r>
    </w:p>
    <w:p w:rsidR="00D95700" w:rsidRDefault="00D95700" w:rsidP="00D95700">
      <w:pPr>
        <w:jc w:val="both"/>
        <w:rPr>
          <w:rFonts w:eastAsia="Arial Unicode MS"/>
          <w:b/>
          <w:sz w:val="30"/>
          <w:szCs w:val="30"/>
        </w:rPr>
      </w:pPr>
    </w:p>
    <w:p w:rsidR="00D95700" w:rsidRDefault="00D95700" w:rsidP="00D95700">
      <w:pPr>
        <w:ind w:left="2880" w:hanging="2880"/>
        <w:jc w:val="center"/>
        <w:rPr>
          <w:rFonts w:eastAsia="Arial Unicode MS"/>
          <w:b/>
          <w:sz w:val="30"/>
          <w:szCs w:val="30"/>
          <w:u w:val="single"/>
        </w:rPr>
      </w:pPr>
    </w:p>
    <w:p w:rsidR="00D95700" w:rsidRPr="00775896" w:rsidRDefault="00D95700" w:rsidP="00D95700">
      <w:pPr>
        <w:ind w:left="2880" w:hanging="2880"/>
        <w:jc w:val="center"/>
        <w:rPr>
          <w:rFonts w:eastAsia="Arial Unicode MS"/>
          <w:b/>
          <w:sz w:val="30"/>
          <w:szCs w:val="30"/>
          <w:u w:val="single"/>
        </w:rPr>
      </w:pPr>
      <w:r w:rsidRPr="00775896">
        <w:rPr>
          <w:rFonts w:eastAsia="Arial Unicode MS"/>
          <w:b/>
          <w:sz w:val="30"/>
          <w:szCs w:val="30"/>
          <w:u w:val="single"/>
        </w:rPr>
        <w:t>JUDGMENT</w:t>
      </w:r>
    </w:p>
    <w:p w:rsidR="00D95700" w:rsidRPr="00775896" w:rsidRDefault="00D95700" w:rsidP="00D95700">
      <w:pPr>
        <w:ind w:left="2880" w:hanging="2880"/>
        <w:jc w:val="both"/>
        <w:rPr>
          <w:rFonts w:eastAsia="Arial Unicode MS"/>
          <w:b/>
          <w:sz w:val="30"/>
          <w:szCs w:val="30"/>
        </w:rPr>
      </w:pPr>
    </w:p>
    <w:p w:rsidR="00D95700" w:rsidRPr="00775896" w:rsidRDefault="00D95700" w:rsidP="00D95700">
      <w:pPr>
        <w:ind w:left="2880" w:hanging="2880"/>
        <w:jc w:val="both"/>
        <w:rPr>
          <w:rFonts w:eastAsia="Arial Unicode MS"/>
          <w:b/>
          <w:sz w:val="30"/>
          <w:szCs w:val="30"/>
        </w:rPr>
      </w:pPr>
    </w:p>
    <w:p w:rsidR="00D95700" w:rsidRPr="00775896" w:rsidRDefault="00D95700" w:rsidP="00D95700">
      <w:pPr>
        <w:ind w:left="2880" w:hanging="2880"/>
        <w:jc w:val="both"/>
        <w:rPr>
          <w:rFonts w:eastAsia="Arial Unicode MS"/>
          <w:b/>
          <w:sz w:val="30"/>
          <w:szCs w:val="30"/>
        </w:rPr>
      </w:pPr>
      <w:r w:rsidRPr="00775896">
        <w:rPr>
          <w:rFonts w:eastAsia="Arial Unicode MS"/>
          <w:b/>
          <w:sz w:val="30"/>
          <w:szCs w:val="30"/>
        </w:rPr>
        <w:t>RAMODIBEDI CJ</w:t>
      </w:r>
    </w:p>
    <w:p w:rsidR="00D95700" w:rsidRPr="00775896" w:rsidRDefault="00D95700" w:rsidP="00D95700">
      <w:pPr>
        <w:ind w:left="2880" w:hanging="2880"/>
        <w:jc w:val="both"/>
        <w:rPr>
          <w:rFonts w:eastAsia="Arial Unicode MS"/>
          <w:sz w:val="30"/>
          <w:szCs w:val="30"/>
        </w:rPr>
      </w:pPr>
    </w:p>
    <w:p w:rsidR="00D95700" w:rsidRPr="00775896" w:rsidRDefault="00D95700" w:rsidP="00D95700">
      <w:pPr>
        <w:ind w:left="2880" w:hanging="2880"/>
        <w:jc w:val="both"/>
        <w:rPr>
          <w:rFonts w:eastAsia="Arial Unicode MS"/>
          <w:sz w:val="30"/>
          <w:szCs w:val="30"/>
        </w:rPr>
      </w:pPr>
    </w:p>
    <w:p w:rsidR="00C13DAF" w:rsidRDefault="00D95700" w:rsidP="00D95700">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The present respondent successfully applied on notice of motion in the High Court (Dlamini J) for an order against the appellant directing her to facilitate  transfer and registration of certain immovable property described as portion 7 (a portion of portion 2</w:t>
      </w:r>
      <w:r w:rsidR="00DA1C44">
        <w:rPr>
          <w:rFonts w:eastAsia="Arial Unicode MS"/>
          <w:sz w:val="30"/>
          <w:szCs w:val="30"/>
        </w:rPr>
        <w:t>)</w:t>
      </w:r>
      <w:r>
        <w:rPr>
          <w:rFonts w:eastAsia="Arial Unicode MS"/>
          <w:sz w:val="30"/>
          <w:szCs w:val="30"/>
        </w:rPr>
        <w:t xml:space="preserve"> of Farm 950 situate in the district of Hhohho, Swaziland into his name. </w:t>
      </w:r>
      <w:r w:rsidR="00C13DAF">
        <w:rPr>
          <w:rFonts w:eastAsia="Arial Unicode MS"/>
          <w:sz w:val="30"/>
          <w:szCs w:val="30"/>
        </w:rPr>
        <w:t xml:space="preserve"> Her sole reason for refusing </w:t>
      </w:r>
      <w:r w:rsidR="00DA1C44">
        <w:rPr>
          <w:rFonts w:eastAsia="Arial Unicode MS"/>
          <w:sz w:val="30"/>
          <w:szCs w:val="30"/>
        </w:rPr>
        <w:t xml:space="preserve">to </w:t>
      </w:r>
      <w:proofErr w:type="gramStart"/>
      <w:r w:rsidR="00DA1C44">
        <w:rPr>
          <w:rFonts w:eastAsia="Arial Unicode MS"/>
          <w:sz w:val="30"/>
          <w:szCs w:val="30"/>
        </w:rPr>
        <w:t>effect</w:t>
      </w:r>
      <w:proofErr w:type="gramEnd"/>
      <w:r w:rsidR="00DA1C44">
        <w:rPr>
          <w:rFonts w:eastAsia="Arial Unicode MS"/>
          <w:sz w:val="30"/>
          <w:szCs w:val="30"/>
        </w:rPr>
        <w:t xml:space="preserve"> the transfer was that the respondent </w:t>
      </w:r>
      <w:r w:rsidR="00C13DAF">
        <w:rPr>
          <w:rFonts w:eastAsia="Arial Unicode MS"/>
          <w:sz w:val="30"/>
          <w:szCs w:val="30"/>
        </w:rPr>
        <w:t xml:space="preserve">was an illegitimate son of the deceased.  </w:t>
      </w:r>
    </w:p>
    <w:p w:rsidR="00C13DAF" w:rsidRDefault="00C13DAF" w:rsidP="00D95700">
      <w:pPr>
        <w:spacing w:line="480" w:lineRule="auto"/>
        <w:ind w:left="720" w:hanging="720"/>
        <w:jc w:val="both"/>
        <w:rPr>
          <w:rFonts w:eastAsia="Arial Unicode MS"/>
          <w:sz w:val="30"/>
          <w:szCs w:val="30"/>
        </w:rPr>
      </w:pPr>
    </w:p>
    <w:p w:rsidR="00C13DAF" w:rsidRDefault="00C13DAF" w:rsidP="00D95700">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 xml:space="preserve">The order granting </w:t>
      </w:r>
      <w:r w:rsidR="00DA1C44">
        <w:rPr>
          <w:rFonts w:eastAsia="Arial Unicode MS"/>
          <w:sz w:val="30"/>
          <w:szCs w:val="30"/>
        </w:rPr>
        <w:t xml:space="preserve">the application as prayed was </w:t>
      </w:r>
      <w:r>
        <w:rPr>
          <w:rFonts w:eastAsia="Arial Unicode MS"/>
          <w:sz w:val="30"/>
          <w:szCs w:val="30"/>
        </w:rPr>
        <w:t>handed down on 11 March 2014.  It is not disputed that it was duly served on the appellant on 19 March 2014.</w:t>
      </w:r>
    </w:p>
    <w:p w:rsidR="00C13DAF" w:rsidRDefault="00C13DAF" w:rsidP="00D95700">
      <w:pPr>
        <w:spacing w:line="480" w:lineRule="auto"/>
        <w:ind w:left="720" w:hanging="720"/>
        <w:jc w:val="both"/>
        <w:rPr>
          <w:rFonts w:eastAsia="Arial Unicode MS"/>
          <w:sz w:val="30"/>
          <w:szCs w:val="30"/>
        </w:rPr>
      </w:pPr>
    </w:p>
    <w:p w:rsidR="00F850AA" w:rsidRDefault="00C13DAF" w:rsidP="00DA1C44">
      <w:pPr>
        <w:spacing w:line="480" w:lineRule="auto"/>
        <w:ind w:left="720" w:hanging="720"/>
        <w:jc w:val="both"/>
        <w:rPr>
          <w:rFonts w:eastAsia="Arial Unicode MS"/>
          <w:sz w:val="30"/>
          <w:szCs w:val="30"/>
        </w:rPr>
      </w:pPr>
      <w:r>
        <w:rPr>
          <w:rFonts w:eastAsia="Arial Unicode MS"/>
          <w:sz w:val="30"/>
          <w:szCs w:val="30"/>
        </w:rPr>
        <w:lastRenderedPageBreak/>
        <w:t>[3]</w:t>
      </w:r>
      <w:r>
        <w:rPr>
          <w:rFonts w:eastAsia="Arial Unicode MS"/>
          <w:sz w:val="30"/>
          <w:szCs w:val="30"/>
        </w:rPr>
        <w:tab/>
        <w:t>In terms of Rule 8 (1) of the Court of Appeal Rules, the appellant was obliged to file her notice of appeal within four weeks of the date of the judgment appealed from</w:t>
      </w:r>
      <w:r w:rsidR="00DA1C44">
        <w:rPr>
          <w:rFonts w:eastAsia="Arial Unicode MS"/>
          <w:sz w:val="30"/>
          <w:szCs w:val="30"/>
        </w:rPr>
        <w:t xml:space="preserve">.   </w:t>
      </w:r>
      <w:r>
        <w:rPr>
          <w:rFonts w:eastAsia="Arial Unicode MS"/>
          <w:sz w:val="30"/>
          <w:szCs w:val="30"/>
        </w:rPr>
        <w:t>Rule 2 on interpretation defines the word “judgment” to include “order”.  What this the</w:t>
      </w:r>
      <w:r w:rsidR="00DA1C44">
        <w:rPr>
          <w:rFonts w:eastAsia="Arial Unicode MS"/>
          <w:sz w:val="30"/>
          <w:szCs w:val="30"/>
        </w:rPr>
        <w:t>n</w:t>
      </w:r>
      <w:r>
        <w:rPr>
          <w:rFonts w:eastAsia="Arial Unicode MS"/>
          <w:sz w:val="30"/>
          <w:szCs w:val="30"/>
        </w:rPr>
        <w:t xml:space="preserve"> means is that the appellant should have filed her appeal against </w:t>
      </w:r>
      <w:r w:rsidR="002A568B">
        <w:rPr>
          <w:rFonts w:eastAsia="Arial Unicode MS"/>
          <w:sz w:val="30"/>
          <w:szCs w:val="30"/>
        </w:rPr>
        <w:t>the order of the High Court in question on or before 18 April 2014.  However, she failed to do so.  She only filed her notice of appeal on 8 July 2014.  Admittedly</w:t>
      </w:r>
      <w:r w:rsidR="00DA1C44">
        <w:rPr>
          <w:rFonts w:eastAsia="Arial Unicode MS"/>
          <w:sz w:val="30"/>
          <w:szCs w:val="30"/>
        </w:rPr>
        <w:t>,</w:t>
      </w:r>
      <w:r w:rsidR="002A568B">
        <w:rPr>
          <w:rFonts w:eastAsia="Arial Unicode MS"/>
          <w:sz w:val="30"/>
          <w:szCs w:val="30"/>
        </w:rPr>
        <w:t xml:space="preserve"> she was out of time by a period of almost three months.</w:t>
      </w:r>
      <w:r w:rsidR="00960DD2">
        <w:rPr>
          <w:rFonts w:eastAsia="Arial Unicode MS"/>
          <w:sz w:val="30"/>
          <w:szCs w:val="30"/>
        </w:rPr>
        <w:t xml:space="preserve">  The respondent makes a telling point that this was only after the respondent’s conveyancers had made an application before the High Court for an order compelling her to transfer the property in terms of the order.</w:t>
      </w:r>
      <w:r w:rsidR="007017B7">
        <w:rPr>
          <w:rFonts w:eastAsia="Arial Unicode MS"/>
          <w:sz w:val="30"/>
          <w:szCs w:val="30"/>
        </w:rPr>
        <w:t xml:space="preserve">  </w:t>
      </w:r>
    </w:p>
    <w:p w:rsidR="00F850AA" w:rsidRDefault="00F850AA" w:rsidP="00DA1C44">
      <w:pPr>
        <w:spacing w:line="480" w:lineRule="auto"/>
        <w:ind w:left="720" w:hanging="720"/>
        <w:jc w:val="both"/>
        <w:rPr>
          <w:rFonts w:eastAsia="Arial Unicode MS"/>
          <w:sz w:val="30"/>
          <w:szCs w:val="30"/>
        </w:rPr>
      </w:pPr>
    </w:p>
    <w:p w:rsidR="00DA1C44" w:rsidRPr="00DA1C44" w:rsidRDefault="00F850AA" w:rsidP="00F850AA">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r>
      <w:r w:rsidR="007017B7">
        <w:rPr>
          <w:rFonts w:eastAsia="Arial Unicode MS"/>
          <w:sz w:val="30"/>
          <w:szCs w:val="30"/>
        </w:rPr>
        <w:t>Additionally, as far back as 2 May 2014</w:t>
      </w:r>
      <w:r w:rsidR="00DA1C44">
        <w:rPr>
          <w:rFonts w:eastAsia="Arial Unicode MS"/>
          <w:sz w:val="30"/>
          <w:szCs w:val="30"/>
        </w:rPr>
        <w:t>,</w:t>
      </w:r>
      <w:r w:rsidR="007017B7">
        <w:rPr>
          <w:rFonts w:eastAsia="Arial Unicode MS"/>
          <w:sz w:val="30"/>
          <w:szCs w:val="30"/>
        </w:rPr>
        <w:t xml:space="preserve"> the respondent’s attorneys wrote to the appellant’s attorneys and said the following:-</w:t>
      </w:r>
    </w:p>
    <w:p w:rsidR="007017B7" w:rsidRDefault="007017B7" w:rsidP="007017B7">
      <w:pPr>
        <w:spacing w:line="360" w:lineRule="auto"/>
        <w:ind w:left="720"/>
        <w:jc w:val="both"/>
        <w:rPr>
          <w:rFonts w:eastAsia="Arial Unicode MS"/>
          <w:i/>
          <w:sz w:val="30"/>
          <w:szCs w:val="30"/>
        </w:rPr>
      </w:pPr>
      <w:r>
        <w:rPr>
          <w:rFonts w:eastAsia="Arial Unicode MS"/>
          <w:i/>
          <w:sz w:val="30"/>
          <w:szCs w:val="30"/>
        </w:rPr>
        <w:t>“</w:t>
      </w:r>
      <w:proofErr w:type="spellStart"/>
      <w:r>
        <w:rPr>
          <w:rFonts w:eastAsia="Arial Unicode MS"/>
          <w:i/>
          <w:sz w:val="30"/>
          <w:szCs w:val="30"/>
        </w:rPr>
        <w:t>Mabila</w:t>
      </w:r>
      <w:proofErr w:type="spellEnd"/>
      <w:r>
        <w:rPr>
          <w:rFonts w:eastAsia="Arial Unicode MS"/>
          <w:i/>
          <w:sz w:val="30"/>
          <w:szCs w:val="30"/>
        </w:rPr>
        <w:t xml:space="preserve"> Attorneys</w:t>
      </w:r>
    </w:p>
    <w:p w:rsidR="007017B7" w:rsidRDefault="007017B7" w:rsidP="007017B7">
      <w:pPr>
        <w:spacing w:line="360" w:lineRule="auto"/>
        <w:ind w:left="720"/>
        <w:jc w:val="both"/>
        <w:rPr>
          <w:rFonts w:eastAsia="Arial Unicode MS"/>
          <w:i/>
          <w:sz w:val="30"/>
          <w:szCs w:val="30"/>
        </w:rPr>
      </w:pPr>
      <w:r>
        <w:rPr>
          <w:rFonts w:eastAsia="Arial Unicode MS"/>
          <w:i/>
          <w:sz w:val="30"/>
          <w:szCs w:val="30"/>
        </w:rPr>
        <w:t>Office No.7</w:t>
      </w:r>
    </w:p>
    <w:p w:rsidR="007017B7" w:rsidRDefault="007017B7" w:rsidP="007017B7">
      <w:pPr>
        <w:spacing w:line="360" w:lineRule="auto"/>
        <w:ind w:left="720"/>
        <w:jc w:val="both"/>
        <w:rPr>
          <w:rFonts w:eastAsia="Arial Unicode MS"/>
          <w:i/>
          <w:sz w:val="30"/>
          <w:szCs w:val="30"/>
        </w:rPr>
      </w:pPr>
      <w:r>
        <w:rPr>
          <w:rFonts w:eastAsia="Arial Unicode MS"/>
          <w:i/>
          <w:sz w:val="30"/>
          <w:szCs w:val="30"/>
        </w:rPr>
        <w:t>Asakhe House</w:t>
      </w:r>
    </w:p>
    <w:p w:rsidR="007017B7" w:rsidRDefault="007017B7" w:rsidP="007017B7">
      <w:pPr>
        <w:spacing w:line="360" w:lineRule="auto"/>
        <w:ind w:left="720"/>
        <w:jc w:val="both"/>
        <w:rPr>
          <w:rFonts w:eastAsia="Arial Unicode MS"/>
          <w:i/>
          <w:sz w:val="30"/>
          <w:szCs w:val="30"/>
        </w:rPr>
      </w:pPr>
      <w:r>
        <w:rPr>
          <w:rFonts w:eastAsia="Arial Unicode MS"/>
          <w:i/>
          <w:sz w:val="30"/>
          <w:szCs w:val="30"/>
        </w:rPr>
        <w:t>MBABANE</w:t>
      </w:r>
    </w:p>
    <w:p w:rsidR="00AF7AFB" w:rsidRDefault="00AF7AFB" w:rsidP="007017B7">
      <w:pPr>
        <w:spacing w:line="360" w:lineRule="auto"/>
        <w:ind w:left="720"/>
        <w:jc w:val="both"/>
        <w:rPr>
          <w:rFonts w:eastAsia="Arial Unicode MS"/>
          <w:i/>
          <w:sz w:val="30"/>
          <w:szCs w:val="30"/>
        </w:rPr>
      </w:pPr>
    </w:p>
    <w:p w:rsidR="007017B7" w:rsidRDefault="007017B7" w:rsidP="007017B7">
      <w:pPr>
        <w:spacing w:line="360" w:lineRule="auto"/>
        <w:ind w:left="720"/>
        <w:jc w:val="both"/>
        <w:rPr>
          <w:rFonts w:eastAsia="Arial Unicode MS"/>
          <w:i/>
          <w:sz w:val="30"/>
          <w:szCs w:val="30"/>
        </w:rPr>
      </w:pPr>
      <w:r>
        <w:rPr>
          <w:rFonts w:eastAsia="Arial Unicode MS"/>
          <w:i/>
          <w:sz w:val="30"/>
          <w:szCs w:val="30"/>
        </w:rPr>
        <w:t>Dear Sir</w:t>
      </w:r>
    </w:p>
    <w:p w:rsidR="007017B7" w:rsidRDefault="007017B7" w:rsidP="007017B7">
      <w:pPr>
        <w:spacing w:line="360" w:lineRule="auto"/>
        <w:ind w:left="720"/>
        <w:jc w:val="both"/>
        <w:rPr>
          <w:rFonts w:eastAsia="Arial Unicode MS"/>
          <w:i/>
          <w:sz w:val="30"/>
          <w:szCs w:val="30"/>
        </w:rPr>
      </w:pPr>
    </w:p>
    <w:p w:rsidR="007017B7" w:rsidRPr="007017B7" w:rsidRDefault="007017B7" w:rsidP="007017B7">
      <w:pPr>
        <w:ind w:left="720"/>
        <w:jc w:val="both"/>
        <w:rPr>
          <w:rFonts w:eastAsia="Arial Unicode MS"/>
          <w:b/>
          <w:i/>
          <w:sz w:val="30"/>
          <w:szCs w:val="30"/>
          <w:u w:val="single"/>
        </w:rPr>
      </w:pPr>
      <w:r w:rsidRPr="007017B7">
        <w:rPr>
          <w:rFonts w:eastAsia="Arial Unicode MS"/>
          <w:b/>
          <w:i/>
          <w:sz w:val="30"/>
          <w:szCs w:val="30"/>
          <w:u w:val="single"/>
        </w:rPr>
        <w:t>RE:  JAHA MALAZA/MARGARET LOMDUMO MALAZA – HIGH COURT CASE NO. 952/2013</w:t>
      </w:r>
    </w:p>
    <w:p w:rsidR="007017B7" w:rsidRDefault="007017B7" w:rsidP="007017B7">
      <w:pPr>
        <w:spacing w:line="480" w:lineRule="auto"/>
        <w:ind w:left="720"/>
        <w:jc w:val="both"/>
        <w:rPr>
          <w:rFonts w:eastAsia="Arial Unicode MS"/>
          <w:i/>
          <w:sz w:val="30"/>
          <w:szCs w:val="30"/>
        </w:rPr>
      </w:pPr>
    </w:p>
    <w:p w:rsidR="007017B7" w:rsidRPr="007D6D42" w:rsidRDefault="007017B7" w:rsidP="007D6D42">
      <w:pPr>
        <w:pStyle w:val="ListParagraph"/>
        <w:numPr>
          <w:ilvl w:val="0"/>
          <w:numId w:val="3"/>
        </w:numPr>
        <w:spacing w:line="360" w:lineRule="auto"/>
        <w:jc w:val="both"/>
        <w:rPr>
          <w:rFonts w:eastAsia="Arial Unicode MS"/>
          <w:i/>
          <w:sz w:val="30"/>
          <w:szCs w:val="30"/>
        </w:rPr>
      </w:pPr>
      <w:r w:rsidRPr="007D6D42">
        <w:rPr>
          <w:rFonts w:eastAsia="Arial Unicode MS"/>
          <w:i/>
          <w:sz w:val="30"/>
          <w:szCs w:val="30"/>
        </w:rPr>
        <w:t xml:space="preserve"> The above matter refers.</w:t>
      </w:r>
    </w:p>
    <w:p w:rsidR="007017B7" w:rsidRPr="007D6D42" w:rsidRDefault="007017B7" w:rsidP="007D6D42">
      <w:pPr>
        <w:pStyle w:val="ListParagraph"/>
        <w:numPr>
          <w:ilvl w:val="0"/>
          <w:numId w:val="3"/>
        </w:numPr>
        <w:spacing w:line="360" w:lineRule="auto"/>
        <w:jc w:val="both"/>
        <w:rPr>
          <w:rFonts w:eastAsia="Arial Unicode MS"/>
          <w:i/>
          <w:sz w:val="30"/>
          <w:szCs w:val="30"/>
        </w:rPr>
      </w:pPr>
      <w:r w:rsidRPr="007D6D42">
        <w:rPr>
          <w:rFonts w:eastAsia="Arial Unicode MS"/>
          <w:i/>
          <w:sz w:val="30"/>
          <w:szCs w:val="30"/>
        </w:rPr>
        <w:t>Pursuant to the order of Court dated the 17</w:t>
      </w:r>
      <w:r w:rsidRPr="007D6D42">
        <w:rPr>
          <w:rFonts w:eastAsia="Arial Unicode MS"/>
          <w:i/>
          <w:sz w:val="30"/>
          <w:szCs w:val="30"/>
          <w:vertAlign w:val="superscript"/>
        </w:rPr>
        <w:t>th</w:t>
      </w:r>
      <w:r w:rsidRPr="007D6D42">
        <w:rPr>
          <w:rFonts w:eastAsia="Arial Unicode MS"/>
          <w:i/>
          <w:sz w:val="30"/>
          <w:szCs w:val="30"/>
        </w:rPr>
        <w:t xml:space="preserve"> March 2014, we advise that our client is ready to make the payment of E26 925.28 in favour of the estate.</w:t>
      </w:r>
    </w:p>
    <w:p w:rsidR="007017B7" w:rsidRPr="007D6D42" w:rsidRDefault="007017B7" w:rsidP="007D6D42">
      <w:pPr>
        <w:pStyle w:val="ListParagraph"/>
        <w:numPr>
          <w:ilvl w:val="0"/>
          <w:numId w:val="3"/>
        </w:numPr>
        <w:spacing w:line="360" w:lineRule="auto"/>
        <w:jc w:val="both"/>
        <w:rPr>
          <w:rFonts w:eastAsia="Arial Unicode MS"/>
          <w:i/>
          <w:sz w:val="30"/>
          <w:szCs w:val="30"/>
        </w:rPr>
      </w:pPr>
      <w:r w:rsidRPr="007D6D42">
        <w:rPr>
          <w:rFonts w:eastAsia="Arial Unicode MS"/>
          <w:i/>
          <w:sz w:val="30"/>
          <w:szCs w:val="30"/>
        </w:rPr>
        <w:t>Kindly advise your client to comply with the order.</w:t>
      </w:r>
    </w:p>
    <w:p w:rsidR="00D95700" w:rsidRPr="007D6D42" w:rsidRDefault="00D95700" w:rsidP="007D6D42">
      <w:pPr>
        <w:pStyle w:val="ListParagraph"/>
        <w:spacing w:line="360" w:lineRule="auto"/>
        <w:ind w:left="1080" w:hanging="360"/>
        <w:jc w:val="both"/>
        <w:rPr>
          <w:rFonts w:eastAsia="Arial Unicode MS"/>
          <w:i/>
          <w:sz w:val="30"/>
          <w:szCs w:val="30"/>
        </w:rPr>
      </w:pPr>
    </w:p>
    <w:p w:rsidR="007D6D42" w:rsidRPr="007D6D42" w:rsidRDefault="007D6D42" w:rsidP="007D6D42">
      <w:pPr>
        <w:pStyle w:val="ListParagraph"/>
        <w:spacing w:line="360" w:lineRule="auto"/>
        <w:ind w:left="1080" w:hanging="360"/>
        <w:jc w:val="both"/>
        <w:rPr>
          <w:rFonts w:eastAsia="Arial Unicode MS"/>
          <w:i/>
          <w:sz w:val="30"/>
          <w:szCs w:val="30"/>
        </w:rPr>
      </w:pPr>
      <w:r w:rsidRPr="007D6D42">
        <w:rPr>
          <w:rFonts w:eastAsia="Arial Unicode MS"/>
          <w:i/>
          <w:sz w:val="30"/>
          <w:szCs w:val="30"/>
        </w:rPr>
        <w:t>Yours faithfully</w:t>
      </w:r>
    </w:p>
    <w:p w:rsidR="007D6D42" w:rsidRDefault="007D6D42" w:rsidP="007D6D42">
      <w:pPr>
        <w:pStyle w:val="ListParagraph"/>
        <w:spacing w:line="360" w:lineRule="auto"/>
        <w:ind w:left="1080" w:hanging="360"/>
        <w:jc w:val="both"/>
        <w:rPr>
          <w:rFonts w:eastAsia="Arial Unicode MS"/>
          <w:i/>
          <w:sz w:val="30"/>
          <w:szCs w:val="30"/>
        </w:rPr>
      </w:pPr>
    </w:p>
    <w:p w:rsidR="007D6D42" w:rsidRPr="007D6D42" w:rsidRDefault="007D6D42" w:rsidP="007D6D42">
      <w:pPr>
        <w:pStyle w:val="ListParagraph"/>
        <w:spacing w:line="360" w:lineRule="auto"/>
        <w:ind w:left="1080" w:hanging="360"/>
        <w:jc w:val="both"/>
        <w:rPr>
          <w:rFonts w:eastAsia="Arial Unicode MS"/>
          <w:i/>
          <w:sz w:val="30"/>
          <w:szCs w:val="30"/>
        </w:rPr>
      </w:pPr>
    </w:p>
    <w:p w:rsidR="007D6D42" w:rsidRPr="007D6D42" w:rsidRDefault="007D6D42" w:rsidP="007D6D42">
      <w:pPr>
        <w:pStyle w:val="ListParagraph"/>
        <w:spacing w:line="360" w:lineRule="auto"/>
        <w:ind w:left="1080" w:hanging="360"/>
        <w:jc w:val="both"/>
        <w:rPr>
          <w:rFonts w:eastAsia="Arial Unicode MS"/>
          <w:i/>
          <w:sz w:val="30"/>
          <w:szCs w:val="30"/>
        </w:rPr>
      </w:pPr>
      <w:r w:rsidRPr="007D6D42">
        <w:rPr>
          <w:rFonts w:eastAsia="Arial Unicode MS"/>
          <w:i/>
          <w:sz w:val="30"/>
          <w:szCs w:val="30"/>
        </w:rPr>
        <w:t>_______________________</w:t>
      </w:r>
    </w:p>
    <w:p w:rsidR="007D6D42" w:rsidRPr="007D6D42" w:rsidRDefault="007D6D42" w:rsidP="007D6D42">
      <w:pPr>
        <w:spacing w:line="360" w:lineRule="auto"/>
        <w:ind w:left="720" w:hanging="720"/>
        <w:jc w:val="both"/>
        <w:rPr>
          <w:rFonts w:eastAsia="Arial Unicode MS"/>
          <w:i/>
          <w:sz w:val="30"/>
          <w:szCs w:val="30"/>
        </w:rPr>
      </w:pPr>
      <w:r w:rsidRPr="007D6D42">
        <w:rPr>
          <w:rFonts w:eastAsia="Arial Unicode MS"/>
          <w:i/>
          <w:sz w:val="30"/>
          <w:szCs w:val="30"/>
        </w:rPr>
        <w:tab/>
      </w:r>
      <w:r w:rsidRPr="007D6D42">
        <w:rPr>
          <w:rFonts w:eastAsia="Arial Unicode MS"/>
          <w:b/>
          <w:i/>
          <w:sz w:val="30"/>
          <w:szCs w:val="30"/>
        </w:rPr>
        <w:t>C.J. LITTLER &amp; CO</w:t>
      </w:r>
      <w:r w:rsidRPr="007D6D42">
        <w:rPr>
          <w:rFonts w:eastAsia="Arial Unicode MS"/>
          <w:i/>
          <w:sz w:val="30"/>
          <w:szCs w:val="30"/>
        </w:rPr>
        <w:t>.”</w:t>
      </w:r>
    </w:p>
    <w:p w:rsidR="007D6D42" w:rsidRDefault="007D6D42" w:rsidP="00D95700">
      <w:pPr>
        <w:spacing w:line="480" w:lineRule="auto"/>
        <w:ind w:left="720" w:hanging="720"/>
        <w:jc w:val="both"/>
        <w:rPr>
          <w:rFonts w:eastAsia="Arial Unicode MS"/>
          <w:sz w:val="30"/>
          <w:szCs w:val="30"/>
        </w:rPr>
      </w:pPr>
    </w:p>
    <w:p w:rsidR="002535D6" w:rsidRDefault="002535D6" w:rsidP="00F850AA">
      <w:pPr>
        <w:spacing w:line="480" w:lineRule="auto"/>
        <w:ind w:left="720"/>
        <w:jc w:val="both"/>
        <w:rPr>
          <w:rFonts w:eastAsia="Arial Unicode MS"/>
          <w:sz w:val="30"/>
          <w:szCs w:val="30"/>
        </w:rPr>
      </w:pPr>
      <w:r>
        <w:rPr>
          <w:rFonts w:eastAsia="Arial Unicode MS"/>
          <w:sz w:val="30"/>
          <w:szCs w:val="30"/>
        </w:rPr>
        <w:t>This letter elicited no response from the appellant’s a</w:t>
      </w:r>
      <w:r w:rsidR="00DA1C44">
        <w:rPr>
          <w:rFonts w:eastAsia="Arial Unicode MS"/>
          <w:sz w:val="30"/>
          <w:szCs w:val="30"/>
        </w:rPr>
        <w:t xml:space="preserve">ttorneys.   </w:t>
      </w:r>
      <w:r>
        <w:rPr>
          <w:rFonts w:eastAsia="Arial Unicode MS"/>
          <w:sz w:val="30"/>
          <w:szCs w:val="30"/>
        </w:rPr>
        <w:t>There was not even a courtesy of a reply.</w:t>
      </w:r>
    </w:p>
    <w:p w:rsidR="002535D6" w:rsidRDefault="002535D6" w:rsidP="00D95700">
      <w:pPr>
        <w:spacing w:line="480" w:lineRule="auto"/>
        <w:ind w:left="720" w:hanging="720"/>
        <w:jc w:val="both"/>
        <w:rPr>
          <w:rFonts w:eastAsia="Arial Unicode MS"/>
          <w:sz w:val="30"/>
          <w:szCs w:val="30"/>
        </w:rPr>
      </w:pPr>
    </w:p>
    <w:p w:rsidR="00913D7F" w:rsidRDefault="002142B6" w:rsidP="00D95700">
      <w:pPr>
        <w:spacing w:line="480" w:lineRule="auto"/>
        <w:ind w:left="720" w:hanging="720"/>
        <w:jc w:val="both"/>
        <w:rPr>
          <w:rFonts w:eastAsia="Arial Unicode MS"/>
          <w:sz w:val="30"/>
          <w:szCs w:val="30"/>
        </w:rPr>
      </w:pPr>
      <w:r>
        <w:rPr>
          <w:rFonts w:eastAsia="Arial Unicode MS"/>
          <w:sz w:val="30"/>
          <w:szCs w:val="30"/>
        </w:rPr>
        <w:t>[</w:t>
      </w:r>
      <w:r w:rsidR="00F850AA">
        <w:rPr>
          <w:rFonts w:eastAsia="Arial Unicode MS"/>
          <w:sz w:val="30"/>
          <w:szCs w:val="30"/>
        </w:rPr>
        <w:t>5</w:t>
      </w:r>
      <w:r>
        <w:rPr>
          <w:rFonts w:eastAsia="Arial Unicode MS"/>
          <w:sz w:val="30"/>
          <w:szCs w:val="30"/>
        </w:rPr>
        <w:t>]</w:t>
      </w:r>
      <w:r>
        <w:rPr>
          <w:rFonts w:eastAsia="Arial Unicode MS"/>
          <w:sz w:val="30"/>
          <w:szCs w:val="30"/>
        </w:rPr>
        <w:tab/>
        <w:t>The appellant flouted the Rules of this Court in another respect.  It is this.  In terms of Rule 30 (1)</w:t>
      </w:r>
      <w:r w:rsidR="00D57FDC">
        <w:rPr>
          <w:rFonts w:eastAsia="Arial Unicode MS"/>
          <w:sz w:val="30"/>
          <w:szCs w:val="30"/>
        </w:rPr>
        <w:t>,</w:t>
      </w:r>
      <w:r>
        <w:rPr>
          <w:rFonts w:eastAsia="Arial Unicode MS"/>
          <w:sz w:val="30"/>
          <w:szCs w:val="30"/>
        </w:rPr>
        <w:t xml:space="preserve"> she was obliged to file a certified record of the proceedings with the Registrar within two </w:t>
      </w:r>
      <w:r>
        <w:rPr>
          <w:rFonts w:eastAsia="Arial Unicode MS"/>
          <w:sz w:val="30"/>
          <w:szCs w:val="30"/>
        </w:rPr>
        <w:lastRenderedPageBreak/>
        <w:t>months of the noting o</w:t>
      </w:r>
      <w:r w:rsidR="00913D7F">
        <w:rPr>
          <w:rFonts w:eastAsia="Arial Unicode MS"/>
          <w:sz w:val="30"/>
          <w:szCs w:val="30"/>
        </w:rPr>
        <w:t>f the appeal.  A simple calculation shows that she should have done so on or before 9 October 2014.  However</w:t>
      </w:r>
      <w:r>
        <w:rPr>
          <w:rFonts w:eastAsia="Arial Unicode MS"/>
          <w:sz w:val="30"/>
          <w:szCs w:val="30"/>
        </w:rPr>
        <w:t>,</w:t>
      </w:r>
      <w:r w:rsidR="00913D7F">
        <w:rPr>
          <w:rFonts w:eastAsia="Arial Unicode MS"/>
          <w:sz w:val="30"/>
          <w:szCs w:val="30"/>
        </w:rPr>
        <w:t xml:space="preserve"> that was not to be.  She only filed the record on 14 October 2014</w:t>
      </w:r>
      <w:r w:rsidR="00D57FDC">
        <w:rPr>
          <w:rFonts w:eastAsia="Arial Unicode MS"/>
          <w:sz w:val="30"/>
          <w:szCs w:val="30"/>
        </w:rPr>
        <w:t>,</w:t>
      </w:r>
      <w:r w:rsidR="00913D7F">
        <w:rPr>
          <w:rFonts w:eastAsia="Arial Unicode MS"/>
          <w:sz w:val="30"/>
          <w:szCs w:val="30"/>
        </w:rPr>
        <w:t xml:space="preserve"> by which date she was once again out of time.</w:t>
      </w:r>
    </w:p>
    <w:p w:rsidR="00913D7F" w:rsidRDefault="00913D7F" w:rsidP="00D95700">
      <w:pPr>
        <w:spacing w:line="480" w:lineRule="auto"/>
        <w:ind w:left="720" w:hanging="720"/>
        <w:jc w:val="both"/>
        <w:rPr>
          <w:rFonts w:eastAsia="Arial Unicode MS"/>
          <w:sz w:val="30"/>
          <w:szCs w:val="30"/>
        </w:rPr>
      </w:pPr>
    </w:p>
    <w:p w:rsidR="00913D7F" w:rsidRDefault="00913D7F" w:rsidP="00D95700">
      <w:pPr>
        <w:spacing w:line="480" w:lineRule="auto"/>
        <w:ind w:left="720" w:hanging="720"/>
        <w:jc w:val="both"/>
        <w:rPr>
          <w:rFonts w:eastAsia="Arial Unicode MS"/>
          <w:sz w:val="30"/>
          <w:szCs w:val="30"/>
        </w:rPr>
      </w:pPr>
      <w:r>
        <w:rPr>
          <w:rFonts w:eastAsia="Arial Unicode MS"/>
          <w:sz w:val="30"/>
          <w:szCs w:val="30"/>
        </w:rPr>
        <w:t>[</w:t>
      </w:r>
      <w:r w:rsidR="00F850AA">
        <w:rPr>
          <w:rFonts w:eastAsia="Arial Unicode MS"/>
          <w:sz w:val="30"/>
          <w:szCs w:val="30"/>
        </w:rPr>
        <w:t>6</w:t>
      </w:r>
      <w:r>
        <w:rPr>
          <w:rFonts w:eastAsia="Arial Unicode MS"/>
          <w:sz w:val="30"/>
          <w:szCs w:val="30"/>
        </w:rPr>
        <w:t>]</w:t>
      </w:r>
      <w:r>
        <w:rPr>
          <w:rFonts w:eastAsia="Arial Unicode MS"/>
          <w:sz w:val="30"/>
          <w:szCs w:val="30"/>
        </w:rPr>
        <w:tab/>
        <w:t>On 24 October 2014, the appellant filed heads of argument in the matter.  No attempt was made to address the flagrant disregard of the Rules as highlighted above</w:t>
      </w:r>
      <w:r w:rsidR="00D57FDC">
        <w:rPr>
          <w:rFonts w:eastAsia="Arial Unicode MS"/>
          <w:sz w:val="30"/>
          <w:szCs w:val="30"/>
        </w:rPr>
        <w:t>.</w:t>
      </w:r>
      <w:r>
        <w:rPr>
          <w:rFonts w:eastAsia="Arial Unicode MS"/>
          <w:sz w:val="30"/>
          <w:szCs w:val="30"/>
        </w:rPr>
        <w:t xml:space="preserve"> </w:t>
      </w:r>
      <w:r w:rsidR="00D57FDC">
        <w:rPr>
          <w:rFonts w:eastAsia="Arial Unicode MS"/>
          <w:sz w:val="30"/>
          <w:szCs w:val="30"/>
        </w:rPr>
        <w:t xml:space="preserve"> N</w:t>
      </w:r>
      <w:r>
        <w:rPr>
          <w:rFonts w:eastAsia="Arial Unicode MS"/>
          <w:sz w:val="30"/>
          <w:szCs w:val="30"/>
        </w:rPr>
        <w:t xml:space="preserve">o application for </w:t>
      </w:r>
      <w:proofErr w:type="spellStart"/>
      <w:r>
        <w:rPr>
          <w:rFonts w:eastAsia="Arial Unicode MS"/>
          <w:sz w:val="30"/>
          <w:szCs w:val="30"/>
        </w:rPr>
        <w:t>condonation</w:t>
      </w:r>
      <w:proofErr w:type="spellEnd"/>
      <w:r>
        <w:rPr>
          <w:rFonts w:eastAsia="Arial Unicode MS"/>
          <w:sz w:val="30"/>
          <w:szCs w:val="30"/>
        </w:rPr>
        <w:t xml:space="preserve"> was made even at that stage.</w:t>
      </w:r>
    </w:p>
    <w:p w:rsidR="00913D7F" w:rsidRDefault="00913D7F" w:rsidP="00D95700">
      <w:pPr>
        <w:spacing w:line="480" w:lineRule="auto"/>
        <w:ind w:left="720" w:hanging="720"/>
        <w:jc w:val="both"/>
        <w:rPr>
          <w:rFonts w:eastAsia="Arial Unicode MS"/>
          <w:sz w:val="30"/>
          <w:szCs w:val="30"/>
        </w:rPr>
      </w:pPr>
    </w:p>
    <w:p w:rsidR="00913D7F" w:rsidRDefault="00913D7F" w:rsidP="00913D7F">
      <w:pPr>
        <w:tabs>
          <w:tab w:val="left" w:pos="630"/>
        </w:tabs>
        <w:spacing w:line="480" w:lineRule="auto"/>
        <w:ind w:left="720" w:hanging="720"/>
        <w:jc w:val="both"/>
        <w:rPr>
          <w:rFonts w:eastAsia="Arial Unicode MS"/>
          <w:sz w:val="30"/>
          <w:szCs w:val="30"/>
        </w:rPr>
      </w:pPr>
      <w:r>
        <w:rPr>
          <w:rFonts w:eastAsia="Arial Unicode MS"/>
          <w:sz w:val="30"/>
          <w:szCs w:val="30"/>
        </w:rPr>
        <w:t>[</w:t>
      </w:r>
      <w:r w:rsidR="00F850AA">
        <w:rPr>
          <w:rFonts w:eastAsia="Arial Unicode MS"/>
          <w:sz w:val="30"/>
          <w:szCs w:val="30"/>
        </w:rPr>
        <w:t>7</w:t>
      </w:r>
      <w:r>
        <w:rPr>
          <w:rFonts w:eastAsia="Arial Unicode MS"/>
          <w:sz w:val="30"/>
          <w:szCs w:val="30"/>
        </w:rPr>
        <w:t>]</w:t>
      </w:r>
      <w:r>
        <w:rPr>
          <w:rFonts w:eastAsia="Arial Unicode MS"/>
          <w:sz w:val="30"/>
          <w:szCs w:val="30"/>
        </w:rPr>
        <w:tab/>
        <w:t>On 28 October 2014, the respondent filed heads of argument.  As was to be expected in the circumstances, he took a point in limine that the appeal had been filed out of time, contrary to Rule 8.</w:t>
      </w:r>
    </w:p>
    <w:p w:rsidR="00913D7F" w:rsidRDefault="00913D7F" w:rsidP="00913D7F">
      <w:pPr>
        <w:tabs>
          <w:tab w:val="left" w:pos="630"/>
        </w:tabs>
        <w:spacing w:line="480" w:lineRule="auto"/>
        <w:ind w:left="720" w:hanging="720"/>
        <w:jc w:val="both"/>
        <w:rPr>
          <w:rFonts w:eastAsia="Arial Unicode MS"/>
          <w:sz w:val="30"/>
          <w:szCs w:val="30"/>
        </w:rPr>
      </w:pPr>
    </w:p>
    <w:p w:rsidR="00913D7F" w:rsidRDefault="00913D7F" w:rsidP="00913D7F">
      <w:pPr>
        <w:tabs>
          <w:tab w:val="left" w:pos="630"/>
        </w:tabs>
        <w:spacing w:line="480" w:lineRule="auto"/>
        <w:ind w:left="720" w:hanging="720"/>
        <w:jc w:val="both"/>
        <w:rPr>
          <w:rFonts w:eastAsia="Arial Unicode MS"/>
          <w:sz w:val="30"/>
          <w:szCs w:val="30"/>
        </w:rPr>
      </w:pPr>
      <w:r>
        <w:rPr>
          <w:rFonts w:eastAsia="Arial Unicode MS"/>
          <w:sz w:val="30"/>
          <w:szCs w:val="30"/>
        </w:rPr>
        <w:t>[</w:t>
      </w:r>
      <w:r w:rsidR="00F850AA">
        <w:rPr>
          <w:rFonts w:eastAsia="Arial Unicode MS"/>
          <w:sz w:val="30"/>
          <w:szCs w:val="30"/>
        </w:rPr>
        <w:t>8</w:t>
      </w:r>
      <w:r>
        <w:rPr>
          <w:rFonts w:eastAsia="Arial Unicode MS"/>
          <w:sz w:val="30"/>
          <w:szCs w:val="30"/>
        </w:rPr>
        <w:t>]</w:t>
      </w:r>
      <w:r>
        <w:rPr>
          <w:rFonts w:eastAsia="Arial Unicode MS"/>
          <w:sz w:val="30"/>
          <w:szCs w:val="30"/>
        </w:rPr>
        <w:tab/>
        <w:t xml:space="preserve">On 4 November 2014, the appellant filed a notice of application in this Court.  She sought an order that in the event this Court found that her appeal had been filed out of time, the Court should grant condonation for her late filing of the notice of appeal.  She also </w:t>
      </w:r>
      <w:r>
        <w:rPr>
          <w:rFonts w:eastAsia="Arial Unicode MS"/>
          <w:sz w:val="30"/>
          <w:szCs w:val="30"/>
        </w:rPr>
        <w:lastRenderedPageBreak/>
        <w:t>sought leave to pursue the appeal.  The application was hotly contested.</w:t>
      </w:r>
    </w:p>
    <w:p w:rsidR="00913D7F" w:rsidRDefault="00913D7F" w:rsidP="00913D7F">
      <w:pPr>
        <w:tabs>
          <w:tab w:val="left" w:pos="630"/>
        </w:tabs>
        <w:spacing w:line="480" w:lineRule="auto"/>
        <w:ind w:left="720" w:hanging="720"/>
        <w:jc w:val="both"/>
        <w:rPr>
          <w:rFonts w:eastAsia="Arial Unicode MS"/>
          <w:sz w:val="30"/>
          <w:szCs w:val="30"/>
        </w:rPr>
      </w:pPr>
    </w:p>
    <w:p w:rsidR="00913D7F" w:rsidRDefault="00913D7F" w:rsidP="00913D7F">
      <w:pPr>
        <w:tabs>
          <w:tab w:val="left" w:pos="630"/>
        </w:tabs>
        <w:spacing w:line="480" w:lineRule="auto"/>
        <w:ind w:left="720" w:hanging="720"/>
        <w:jc w:val="both"/>
        <w:rPr>
          <w:rFonts w:eastAsia="Arial Unicode MS"/>
          <w:sz w:val="30"/>
          <w:szCs w:val="30"/>
        </w:rPr>
      </w:pPr>
      <w:r>
        <w:rPr>
          <w:rFonts w:eastAsia="Arial Unicode MS"/>
          <w:sz w:val="30"/>
          <w:szCs w:val="30"/>
        </w:rPr>
        <w:t>[</w:t>
      </w:r>
      <w:r w:rsidR="00F850AA">
        <w:rPr>
          <w:rFonts w:eastAsia="Arial Unicode MS"/>
          <w:sz w:val="30"/>
          <w:szCs w:val="30"/>
        </w:rPr>
        <w:t>9</w:t>
      </w:r>
      <w:r>
        <w:rPr>
          <w:rFonts w:eastAsia="Arial Unicode MS"/>
          <w:sz w:val="30"/>
          <w:szCs w:val="30"/>
        </w:rPr>
        <w:t>]</w:t>
      </w:r>
      <w:r>
        <w:rPr>
          <w:rFonts w:eastAsia="Arial Unicode MS"/>
          <w:sz w:val="30"/>
          <w:szCs w:val="30"/>
        </w:rPr>
        <w:tab/>
      </w:r>
      <w:r w:rsidR="002142B6">
        <w:rPr>
          <w:rFonts w:eastAsia="Arial Unicode MS"/>
          <w:sz w:val="30"/>
          <w:szCs w:val="30"/>
        </w:rPr>
        <w:t xml:space="preserve"> </w:t>
      </w:r>
      <w:r>
        <w:rPr>
          <w:rFonts w:eastAsia="Arial Unicode MS"/>
          <w:sz w:val="30"/>
          <w:szCs w:val="30"/>
        </w:rPr>
        <w:t>At the hearing of the matter, this Court directed that both the application for condonation and the merits of the appeal be heard simultaneously in order to avoid piece-meal litigation.</w:t>
      </w:r>
    </w:p>
    <w:p w:rsidR="00913D7F" w:rsidRDefault="00913D7F" w:rsidP="00913D7F">
      <w:pPr>
        <w:tabs>
          <w:tab w:val="left" w:pos="630"/>
        </w:tabs>
        <w:spacing w:line="480" w:lineRule="auto"/>
        <w:ind w:left="720" w:hanging="720"/>
        <w:jc w:val="both"/>
        <w:rPr>
          <w:rFonts w:eastAsia="Arial Unicode MS"/>
          <w:sz w:val="30"/>
          <w:szCs w:val="30"/>
        </w:rPr>
      </w:pPr>
    </w:p>
    <w:p w:rsidR="00D008D5" w:rsidRDefault="00913D7F" w:rsidP="00913D7F">
      <w:pPr>
        <w:tabs>
          <w:tab w:val="left" w:pos="630"/>
        </w:tabs>
        <w:spacing w:line="480" w:lineRule="auto"/>
        <w:ind w:left="720" w:hanging="720"/>
        <w:jc w:val="both"/>
        <w:rPr>
          <w:rFonts w:eastAsia="Arial Unicode MS"/>
          <w:sz w:val="30"/>
          <w:szCs w:val="30"/>
        </w:rPr>
      </w:pPr>
      <w:r>
        <w:rPr>
          <w:rFonts w:eastAsia="Arial Unicode MS"/>
          <w:sz w:val="30"/>
          <w:szCs w:val="30"/>
        </w:rPr>
        <w:t>[</w:t>
      </w:r>
      <w:r w:rsidR="00F850AA">
        <w:rPr>
          <w:rFonts w:eastAsia="Arial Unicode MS"/>
          <w:sz w:val="30"/>
          <w:szCs w:val="30"/>
        </w:rPr>
        <w:t>10</w:t>
      </w:r>
      <w:r>
        <w:rPr>
          <w:rFonts w:eastAsia="Arial Unicode MS"/>
          <w:sz w:val="30"/>
          <w:szCs w:val="30"/>
        </w:rPr>
        <w:t>]</w:t>
      </w:r>
      <w:r>
        <w:rPr>
          <w:rFonts w:eastAsia="Arial Unicode MS"/>
          <w:sz w:val="30"/>
          <w:szCs w:val="30"/>
        </w:rPr>
        <w:tab/>
      </w:r>
      <w:r w:rsidR="00D53555">
        <w:rPr>
          <w:rFonts w:eastAsia="Arial Unicode MS"/>
          <w:sz w:val="30"/>
          <w:szCs w:val="30"/>
        </w:rPr>
        <w:t xml:space="preserve">Insofar as </w:t>
      </w:r>
      <w:proofErr w:type="spellStart"/>
      <w:r w:rsidR="00D53555">
        <w:rPr>
          <w:rFonts w:eastAsia="Arial Unicode MS"/>
          <w:sz w:val="30"/>
          <w:szCs w:val="30"/>
        </w:rPr>
        <w:t>condonation</w:t>
      </w:r>
      <w:proofErr w:type="spellEnd"/>
      <w:r w:rsidR="00D53555">
        <w:rPr>
          <w:rFonts w:eastAsia="Arial Unicode MS"/>
          <w:sz w:val="30"/>
          <w:szCs w:val="30"/>
        </w:rPr>
        <w:t xml:space="preserve"> is concerned</w:t>
      </w:r>
      <w:r w:rsidR="00F850AA">
        <w:rPr>
          <w:rFonts w:eastAsia="Arial Unicode MS"/>
          <w:sz w:val="30"/>
          <w:szCs w:val="30"/>
        </w:rPr>
        <w:t>,</w:t>
      </w:r>
      <w:r w:rsidR="00D53555">
        <w:rPr>
          <w:rFonts w:eastAsia="Arial Unicode MS"/>
          <w:sz w:val="30"/>
          <w:szCs w:val="30"/>
        </w:rPr>
        <w:t xml:space="preserve"> this Court has warned on several occasions that flagrant </w:t>
      </w:r>
      <w:r w:rsidR="00F850AA">
        <w:rPr>
          <w:rFonts w:eastAsia="Arial Unicode MS"/>
          <w:sz w:val="30"/>
          <w:szCs w:val="30"/>
        </w:rPr>
        <w:t>dis</w:t>
      </w:r>
      <w:r w:rsidR="00D53555">
        <w:rPr>
          <w:rFonts w:eastAsia="Arial Unicode MS"/>
          <w:sz w:val="30"/>
          <w:szCs w:val="30"/>
        </w:rPr>
        <w:t xml:space="preserve">regard of the Rules of Court, as has happened here, will not be tolerated.  See, for example, such cases as </w:t>
      </w:r>
      <w:r w:rsidR="00D53555" w:rsidRPr="00D53555">
        <w:rPr>
          <w:rFonts w:eastAsia="Arial Unicode MS"/>
          <w:b/>
          <w:sz w:val="30"/>
          <w:szCs w:val="30"/>
          <w:u w:val="single"/>
        </w:rPr>
        <w:t>Joh</w:t>
      </w:r>
      <w:r w:rsidR="00D53555">
        <w:rPr>
          <w:rFonts w:eastAsia="Arial Unicode MS"/>
          <w:b/>
          <w:sz w:val="30"/>
          <w:szCs w:val="30"/>
          <w:u w:val="single"/>
        </w:rPr>
        <w:t xml:space="preserve">annes Hlatshwayo v Swaziland development and Savings Bank and Others, Civil Appeal </w:t>
      </w:r>
      <w:r w:rsidR="00D008D5">
        <w:rPr>
          <w:rFonts w:eastAsia="Arial Unicode MS"/>
          <w:b/>
          <w:sz w:val="30"/>
          <w:szCs w:val="30"/>
          <w:u w:val="single"/>
        </w:rPr>
        <w:t>No. 21/2006; Jabulani Patrick Tibane v Alfred Sipho Dlamini, Civil Appeal No.17/2013</w:t>
      </w:r>
      <w:r w:rsidR="00D008D5">
        <w:rPr>
          <w:rFonts w:eastAsia="Arial Unicode MS"/>
          <w:sz w:val="30"/>
          <w:szCs w:val="30"/>
        </w:rPr>
        <w:t>.</w:t>
      </w:r>
    </w:p>
    <w:p w:rsidR="00D008D5" w:rsidRDefault="00D008D5" w:rsidP="00913D7F">
      <w:pPr>
        <w:tabs>
          <w:tab w:val="left" w:pos="630"/>
        </w:tabs>
        <w:spacing w:line="480" w:lineRule="auto"/>
        <w:ind w:left="720" w:hanging="720"/>
        <w:jc w:val="both"/>
        <w:rPr>
          <w:rFonts w:eastAsia="Arial Unicode MS"/>
          <w:sz w:val="30"/>
          <w:szCs w:val="30"/>
        </w:rPr>
      </w:pPr>
    </w:p>
    <w:p w:rsidR="00913D7F" w:rsidRDefault="00D008D5" w:rsidP="002142B6">
      <w:pPr>
        <w:tabs>
          <w:tab w:val="left" w:pos="630"/>
        </w:tabs>
        <w:spacing w:line="480" w:lineRule="auto"/>
        <w:ind w:left="720" w:hanging="720"/>
        <w:jc w:val="both"/>
        <w:rPr>
          <w:rFonts w:eastAsia="Arial Unicode MS"/>
          <w:sz w:val="30"/>
          <w:szCs w:val="30"/>
        </w:rPr>
      </w:pPr>
      <w:r>
        <w:rPr>
          <w:rFonts w:eastAsia="Arial Unicode MS"/>
          <w:sz w:val="30"/>
          <w:szCs w:val="30"/>
        </w:rPr>
        <w:t>[1</w:t>
      </w:r>
      <w:r w:rsidR="00261A2B">
        <w:rPr>
          <w:rFonts w:eastAsia="Arial Unicode MS"/>
          <w:sz w:val="30"/>
          <w:szCs w:val="30"/>
        </w:rPr>
        <w:t>0</w:t>
      </w:r>
      <w:r>
        <w:rPr>
          <w:rFonts w:eastAsia="Arial Unicode MS"/>
          <w:sz w:val="30"/>
          <w:szCs w:val="30"/>
        </w:rPr>
        <w:t>]</w:t>
      </w:r>
      <w:r>
        <w:rPr>
          <w:rFonts w:eastAsia="Arial Unicode MS"/>
          <w:sz w:val="30"/>
          <w:szCs w:val="30"/>
        </w:rPr>
        <w:tab/>
      </w:r>
      <w:r w:rsidR="002142B6">
        <w:rPr>
          <w:rFonts w:eastAsia="Arial Unicode MS"/>
          <w:sz w:val="30"/>
          <w:szCs w:val="30"/>
        </w:rPr>
        <w:t xml:space="preserve"> </w:t>
      </w:r>
      <w:r>
        <w:rPr>
          <w:rFonts w:eastAsia="Arial Unicode MS"/>
          <w:sz w:val="30"/>
          <w:szCs w:val="30"/>
        </w:rPr>
        <w:t>In paragraph 10 of her founding affidavit</w:t>
      </w:r>
      <w:r w:rsidR="00264169">
        <w:rPr>
          <w:rFonts w:eastAsia="Arial Unicode MS"/>
          <w:sz w:val="30"/>
          <w:szCs w:val="30"/>
        </w:rPr>
        <w:t>,</w:t>
      </w:r>
      <w:r>
        <w:rPr>
          <w:rFonts w:eastAsia="Arial Unicode MS"/>
          <w:sz w:val="30"/>
          <w:szCs w:val="30"/>
        </w:rPr>
        <w:t xml:space="preserve"> the appellant makes a startling averment that it would have been premature</w:t>
      </w:r>
      <w:r w:rsidRPr="009D54D7">
        <w:rPr>
          <w:rFonts w:eastAsia="Arial Unicode MS"/>
          <w:sz w:val="30"/>
          <w:szCs w:val="30"/>
        </w:rPr>
        <w:t xml:space="preserve"> </w:t>
      </w:r>
      <w:r w:rsidR="009D54D7">
        <w:rPr>
          <w:rFonts w:eastAsia="Arial Unicode MS"/>
          <w:sz w:val="30"/>
          <w:szCs w:val="30"/>
        </w:rPr>
        <w:t xml:space="preserve">for her to appeal before the reasons </w:t>
      </w:r>
      <w:r w:rsidR="006B405B">
        <w:rPr>
          <w:rFonts w:eastAsia="Arial Unicode MS"/>
          <w:sz w:val="30"/>
          <w:szCs w:val="30"/>
        </w:rPr>
        <w:t xml:space="preserve">for judgment were given.  </w:t>
      </w:r>
      <w:r w:rsidR="00283B3A">
        <w:rPr>
          <w:rFonts w:eastAsia="Arial Unicode MS"/>
          <w:sz w:val="30"/>
          <w:szCs w:val="30"/>
        </w:rPr>
        <w:t xml:space="preserve">In my view this is not an </w:t>
      </w:r>
      <w:r w:rsidR="009D54D7">
        <w:rPr>
          <w:rFonts w:eastAsia="Arial Unicode MS"/>
          <w:sz w:val="30"/>
          <w:szCs w:val="30"/>
        </w:rPr>
        <w:t>acceptable explanation</w:t>
      </w:r>
      <w:r w:rsidR="00264169">
        <w:rPr>
          <w:rFonts w:eastAsia="Arial Unicode MS"/>
          <w:sz w:val="30"/>
          <w:szCs w:val="30"/>
        </w:rPr>
        <w:t>,</w:t>
      </w:r>
      <w:r w:rsidR="009D54D7">
        <w:rPr>
          <w:rFonts w:eastAsia="Arial Unicode MS"/>
          <w:sz w:val="30"/>
          <w:szCs w:val="30"/>
        </w:rPr>
        <w:t xml:space="preserve"> especially because she was </w:t>
      </w:r>
      <w:r w:rsidR="009D54D7">
        <w:rPr>
          <w:rFonts w:eastAsia="Arial Unicode MS"/>
          <w:sz w:val="30"/>
          <w:szCs w:val="30"/>
        </w:rPr>
        <w:lastRenderedPageBreak/>
        <w:t xml:space="preserve">legally represented.  In any event, she did file </w:t>
      </w:r>
      <w:r w:rsidR="004D2430">
        <w:rPr>
          <w:rFonts w:eastAsia="Arial Unicode MS"/>
          <w:sz w:val="30"/>
          <w:szCs w:val="30"/>
        </w:rPr>
        <w:t xml:space="preserve">the appeal before the reasons </w:t>
      </w:r>
      <w:r w:rsidR="009D54D7">
        <w:rPr>
          <w:rFonts w:eastAsia="Arial Unicode MS"/>
          <w:sz w:val="30"/>
          <w:szCs w:val="30"/>
        </w:rPr>
        <w:t>for judgment were handed down after all.  As will be recalled</w:t>
      </w:r>
      <w:r w:rsidR="004D2430">
        <w:rPr>
          <w:rFonts w:eastAsia="Arial Unicode MS"/>
          <w:sz w:val="30"/>
          <w:szCs w:val="30"/>
        </w:rPr>
        <w:t>,</w:t>
      </w:r>
      <w:r w:rsidR="009D54D7">
        <w:rPr>
          <w:rFonts w:eastAsia="Arial Unicode MS"/>
          <w:sz w:val="30"/>
          <w:szCs w:val="30"/>
        </w:rPr>
        <w:t xml:space="preserve"> she filed the notice of appeal on 8 July 2014.  The reasons for judgment </w:t>
      </w:r>
      <w:r w:rsidR="00261A2B">
        <w:rPr>
          <w:rFonts w:eastAsia="Arial Unicode MS"/>
          <w:sz w:val="30"/>
          <w:szCs w:val="30"/>
        </w:rPr>
        <w:t xml:space="preserve">were delivered on 22 October 2014.  </w:t>
      </w:r>
    </w:p>
    <w:p w:rsidR="00261A2B" w:rsidRDefault="00261A2B" w:rsidP="00913D7F">
      <w:pPr>
        <w:tabs>
          <w:tab w:val="left" w:pos="630"/>
        </w:tabs>
        <w:spacing w:line="480" w:lineRule="auto"/>
        <w:ind w:left="720" w:hanging="720"/>
        <w:jc w:val="both"/>
        <w:rPr>
          <w:rFonts w:eastAsia="Arial Unicode MS"/>
          <w:sz w:val="30"/>
          <w:szCs w:val="30"/>
        </w:rPr>
      </w:pPr>
    </w:p>
    <w:p w:rsidR="001A7647" w:rsidRDefault="00261A2B" w:rsidP="00913D7F">
      <w:pPr>
        <w:tabs>
          <w:tab w:val="left" w:pos="630"/>
        </w:tabs>
        <w:spacing w:line="480" w:lineRule="auto"/>
        <w:ind w:left="720" w:hanging="720"/>
        <w:jc w:val="both"/>
        <w:rPr>
          <w:rFonts w:eastAsia="Arial Unicode MS"/>
          <w:b/>
          <w:sz w:val="30"/>
          <w:szCs w:val="30"/>
        </w:rPr>
      </w:pPr>
      <w:r>
        <w:rPr>
          <w:rFonts w:eastAsia="Arial Unicode MS"/>
          <w:sz w:val="30"/>
          <w:szCs w:val="30"/>
        </w:rPr>
        <w:t>[1</w:t>
      </w:r>
      <w:r w:rsidR="004D2430">
        <w:rPr>
          <w:rFonts w:eastAsia="Arial Unicode MS"/>
          <w:sz w:val="30"/>
          <w:szCs w:val="30"/>
        </w:rPr>
        <w:t>2</w:t>
      </w:r>
      <w:r>
        <w:rPr>
          <w:rFonts w:eastAsia="Arial Unicode MS"/>
          <w:sz w:val="30"/>
          <w:szCs w:val="30"/>
        </w:rPr>
        <w:t>]</w:t>
      </w:r>
      <w:r>
        <w:rPr>
          <w:rFonts w:eastAsia="Arial Unicode MS"/>
          <w:sz w:val="30"/>
          <w:szCs w:val="30"/>
        </w:rPr>
        <w:tab/>
      </w:r>
      <w:r w:rsidR="002142B6">
        <w:rPr>
          <w:rFonts w:eastAsia="Arial Unicode MS"/>
          <w:sz w:val="30"/>
          <w:szCs w:val="30"/>
        </w:rPr>
        <w:t xml:space="preserve"> </w:t>
      </w:r>
      <w:r>
        <w:rPr>
          <w:rFonts w:eastAsia="Arial Unicode MS"/>
          <w:sz w:val="30"/>
          <w:szCs w:val="30"/>
        </w:rPr>
        <w:t xml:space="preserve">It is trite that in an application for </w:t>
      </w:r>
      <w:proofErr w:type="spellStart"/>
      <w:r>
        <w:rPr>
          <w:rFonts w:eastAsia="Arial Unicode MS"/>
          <w:sz w:val="30"/>
          <w:szCs w:val="30"/>
        </w:rPr>
        <w:t>condonation</w:t>
      </w:r>
      <w:proofErr w:type="spellEnd"/>
      <w:r w:rsidR="00283B3A">
        <w:rPr>
          <w:rFonts w:eastAsia="Arial Unicode MS"/>
          <w:sz w:val="30"/>
          <w:szCs w:val="30"/>
        </w:rPr>
        <w:t>,</w:t>
      </w:r>
      <w:r>
        <w:rPr>
          <w:rFonts w:eastAsia="Arial Unicode MS"/>
          <w:sz w:val="30"/>
          <w:szCs w:val="30"/>
        </w:rPr>
        <w:t xml:space="preserve"> one of the fundamental </w:t>
      </w:r>
      <w:r w:rsidR="00AC3226">
        <w:rPr>
          <w:rFonts w:eastAsia="Arial Unicode MS"/>
          <w:sz w:val="30"/>
          <w:szCs w:val="30"/>
        </w:rPr>
        <w:t>requirements</w:t>
      </w:r>
      <w:r>
        <w:rPr>
          <w:rFonts w:eastAsia="Arial Unicode MS"/>
          <w:sz w:val="30"/>
          <w:szCs w:val="30"/>
        </w:rPr>
        <w:t xml:space="preserve"> that the applicant must establish is prospects of success on appeal.  In determining this aspect of the matter it is necessary to revisit the facts, even </w:t>
      </w:r>
      <w:r w:rsidR="00283B3A">
        <w:rPr>
          <w:rFonts w:eastAsia="Arial Unicode MS"/>
          <w:sz w:val="30"/>
          <w:szCs w:val="30"/>
        </w:rPr>
        <w:t>i</w:t>
      </w:r>
      <w:r>
        <w:rPr>
          <w:rFonts w:eastAsia="Arial Unicode MS"/>
          <w:sz w:val="30"/>
          <w:szCs w:val="30"/>
        </w:rPr>
        <w:t>f briefly.  In this regard it is undoubtedly convenient, and indeed appropriate</w:t>
      </w:r>
      <w:r w:rsidR="00283B3A">
        <w:rPr>
          <w:rFonts w:eastAsia="Arial Unicode MS"/>
          <w:sz w:val="30"/>
          <w:szCs w:val="30"/>
        </w:rPr>
        <w:t>,</w:t>
      </w:r>
      <w:r>
        <w:rPr>
          <w:rFonts w:eastAsia="Arial Unicode MS"/>
          <w:sz w:val="30"/>
          <w:szCs w:val="30"/>
        </w:rPr>
        <w:t xml:space="preserve"> to rely on the judgment of this Court </w:t>
      </w:r>
      <w:r w:rsidR="001A7647">
        <w:rPr>
          <w:rFonts w:eastAsia="Arial Unicode MS"/>
          <w:sz w:val="30"/>
          <w:szCs w:val="30"/>
        </w:rPr>
        <w:t xml:space="preserve">in the case involving the appellant and one Thandie Elizabeth Malaza in 1993.  The full citation is </w:t>
      </w:r>
      <w:proofErr w:type="spellStart"/>
      <w:r w:rsidR="001A7647">
        <w:rPr>
          <w:rFonts w:eastAsia="Arial Unicode MS"/>
          <w:b/>
          <w:sz w:val="30"/>
          <w:szCs w:val="30"/>
          <w:u w:val="single"/>
        </w:rPr>
        <w:t>Thandie</w:t>
      </w:r>
      <w:proofErr w:type="spellEnd"/>
      <w:r w:rsidR="001A7647">
        <w:rPr>
          <w:rFonts w:eastAsia="Arial Unicode MS"/>
          <w:b/>
          <w:sz w:val="30"/>
          <w:szCs w:val="30"/>
          <w:u w:val="single"/>
        </w:rPr>
        <w:t xml:space="preserve"> Elizabeth </w:t>
      </w:r>
      <w:proofErr w:type="spellStart"/>
      <w:r w:rsidR="001A7647">
        <w:rPr>
          <w:rFonts w:eastAsia="Arial Unicode MS"/>
          <w:b/>
          <w:sz w:val="30"/>
          <w:szCs w:val="30"/>
          <w:u w:val="single"/>
        </w:rPr>
        <w:t>Malaza</w:t>
      </w:r>
      <w:proofErr w:type="spellEnd"/>
      <w:r w:rsidR="001A7647">
        <w:rPr>
          <w:rFonts w:eastAsia="Arial Unicode MS"/>
          <w:b/>
          <w:sz w:val="30"/>
          <w:szCs w:val="30"/>
          <w:u w:val="single"/>
        </w:rPr>
        <w:t xml:space="preserve"> v Margaret </w:t>
      </w:r>
      <w:proofErr w:type="spellStart"/>
      <w:r w:rsidR="001A7647">
        <w:rPr>
          <w:rFonts w:eastAsia="Arial Unicode MS"/>
          <w:b/>
          <w:sz w:val="30"/>
          <w:szCs w:val="30"/>
          <w:u w:val="single"/>
        </w:rPr>
        <w:t>Lo</w:t>
      </w:r>
      <w:r w:rsidR="000E3939">
        <w:rPr>
          <w:rFonts w:eastAsia="Arial Unicode MS"/>
          <w:b/>
          <w:sz w:val="30"/>
          <w:szCs w:val="30"/>
          <w:u w:val="single"/>
        </w:rPr>
        <w:t>m</w:t>
      </w:r>
      <w:r w:rsidR="001A7647">
        <w:rPr>
          <w:rFonts w:eastAsia="Arial Unicode MS"/>
          <w:b/>
          <w:sz w:val="30"/>
          <w:szCs w:val="30"/>
          <w:u w:val="single"/>
        </w:rPr>
        <w:t>dumo</w:t>
      </w:r>
      <w:proofErr w:type="spellEnd"/>
      <w:r w:rsidR="001A7647">
        <w:rPr>
          <w:rFonts w:eastAsia="Arial Unicode MS"/>
          <w:b/>
          <w:sz w:val="30"/>
          <w:szCs w:val="30"/>
          <w:u w:val="single"/>
        </w:rPr>
        <w:t xml:space="preserve"> </w:t>
      </w:r>
      <w:proofErr w:type="spellStart"/>
      <w:proofErr w:type="gramStart"/>
      <w:r w:rsidR="001A7647">
        <w:rPr>
          <w:rFonts w:eastAsia="Arial Unicode MS"/>
          <w:b/>
          <w:sz w:val="30"/>
          <w:szCs w:val="30"/>
          <w:u w:val="single"/>
        </w:rPr>
        <w:t>Malaza</w:t>
      </w:r>
      <w:proofErr w:type="spellEnd"/>
      <w:r w:rsidR="001A7647">
        <w:rPr>
          <w:rFonts w:eastAsia="Arial Unicode MS"/>
          <w:b/>
          <w:sz w:val="30"/>
          <w:szCs w:val="30"/>
          <w:u w:val="single"/>
        </w:rPr>
        <w:t>,</w:t>
      </w:r>
      <w:proofErr w:type="gramEnd"/>
      <w:r w:rsidR="001A7647">
        <w:rPr>
          <w:rFonts w:eastAsia="Arial Unicode MS"/>
          <w:b/>
          <w:sz w:val="30"/>
          <w:szCs w:val="30"/>
          <w:u w:val="single"/>
        </w:rPr>
        <w:t xml:space="preserve"> Appeal case No. 9/93</w:t>
      </w:r>
      <w:r w:rsidR="001A7647" w:rsidRPr="001A7647">
        <w:rPr>
          <w:rFonts w:eastAsia="Arial Unicode MS"/>
          <w:sz w:val="30"/>
          <w:szCs w:val="30"/>
        </w:rPr>
        <w:t>.</w:t>
      </w:r>
    </w:p>
    <w:p w:rsidR="001A7647" w:rsidRDefault="007E4600" w:rsidP="00913D7F">
      <w:pPr>
        <w:tabs>
          <w:tab w:val="left" w:pos="630"/>
        </w:tabs>
        <w:spacing w:line="480" w:lineRule="auto"/>
        <w:ind w:left="720" w:hanging="720"/>
        <w:jc w:val="both"/>
        <w:rPr>
          <w:rFonts w:eastAsia="Arial Unicode MS"/>
          <w:b/>
          <w:sz w:val="30"/>
          <w:szCs w:val="30"/>
        </w:rPr>
      </w:pPr>
      <w:r>
        <w:rPr>
          <w:rFonts w:eastAsia="Arial Unicode MS"/>
          <w:b/>
          <w:sz w:val="30"/>
          <w:szCs w:val="30"/>
        </w:rPr>
        <w:t xml:space="preserve"> </w:t>
      </w:r>
    </w:p>
    <w:p w:rsidR="00AC3226" w:rsidRDefault="00AC3226" w:rsidP="00AC3226">
      <w:pPr>
        <w:tabs>
          <w:tab w:val="left" w:pos="630"/>
        </w:tabs>
        <w:spacing w:line="480" w:lineRule="auto"/>
        <w:ind w:left="720" w:hanging="720"/>
        <w:jc w:val="both"/>
        <w:rPr>
          <w:rFonts w:eastAsia="Arial Unicode MS"/>
          <w:sz w:val="30"/>
          <w:szCs w:val="30"/>
        </w:rPr>
      </w:pPr>
      <w:r w:rsidRPr="00AC3226">
        <w:rPr>
          <w:rFonts w:eastAsia="Arial Unicode MS"/>
          <w:sz w:val="30"/>
          <w:szCs w:val="30"/>
        </w:rPr>
        <w:t>[1</w:t>
      </w:r>
      <w:r w:rsidR="004D2430">
        <w:rPr>
          <w:rFonts w:eastAsia="Arial Unicode MS"/>
          <w:sz w:val="30"/>
          <w:szCs w:val="30"/>
        </w:rPr>
        <w:t>3</w:t>
      </w:r>
      <w:r w:rsidRPr="00AC3226">
        <w:rPr>
          <w:rFonts w:eastAsia="Arial Unicode MS"/>
          <w:sz w:val="30"/>
          <w:szCs w:val="30"/>
        </w:rPr>
        <w:t>]</w:t>
      </w:r>
      <w:r>
        <w:rPr>
          <w:rFonts w:eastAsia="Arial Unicode MS"/>
          <w:sz w:val="30"/>
          <w:szCs w:val="30"/>
        </w:rPr>
        <w:tab/>
        <w:t xml:space="preserve"> The material findings of this Court in that case may be </w:t>
      </w:r>
      <w:proofErr w:type="spellStart"/>
      <w:r>
        <w:rPr>
          <w:rFonts w:eastAsia="Arial Unicode MS"/>
          <w:sz w:val="30"/>
          <w:szCs w:val="30"/>
        </w:rPr>
        <w:t>summari</w:t>
      </w:r>
      <w:r w:rsidR="00283B3A">
        <w:rPr>
          <w:rFonts w:eastAsia="Arial Unicode MS"/>
          <w:sz w:val="30"/>
          <w:szCs w:val="30"/>
        </w:rPr>
        <w:t>s</w:t>
      </w:r>
      <w:r>
        <w:rPr>
          <w:rFonts w:eastAsia="Arial Unicode MS"/>
          <w:sz w:val="30"/>
          <w:szCs w:val="30"/>
        </w:rPr>
        <w:t>ed</w:t>
      </w:r>
      <w:proofErr w:type="spellEnd"/>
      <w:r>
        <w:rPr>
          <w:rFonts w:eastAsia="Arial Unicode MS"/>
          <w:sz w:val="30"/>
          <w:szCs w:val="30"/>
        </w:rPr>
        <w:t xml:space="preserve"> as follows:-</w:t>
      </w:r>
    </w:p>
    <w:p w:rsidR="00AC3226" w:rsidRDefault="00AC3226" w:rsidP="00913D7F">
      <w:pPr>
        <w:tabs>
          <w:tab w:val="left" w:pos="630"/>
        </w:tabs>
        <w:spacing w:line="480" w:lineRule="auto"/>
        <w:ind w:left="720" w:hanging="720"/>
        <w:jc w:val="both"/>
        <w:rPr>
          <w:rFonts w:eastAsia="Arial Unicode MS"/>
          <w:sz w:val="30"/>
          <w:szCs w:val="30"/>
        </w:rPr>
      </w:pPr>
    </w:p>
    <w:p w:rsidR="00AC3226" w:rsidRDefault="00AC3226" w:rsidP="009C3328">
      <w:pPr>
        <w:pStyle w:val="ListParagraph"/>
        <w:numPr>
          <w:ilvl w:val="0"/>
          <w:numId w:val="4"/>
        </w:numPr>
        <w:tabs>
          <w:tab w:val="left" w:pos="630"/>
          <w:tab w:val="left" w:pos="1260"/>
        </w:tabs>
        <w:spacing w:line="480" w:lineRule="auto"/>
        <w:ind w:left="1260" w:hanging="540"/>
        <w:jc w:val="both"/>
        <w:rPr>
          <w:rFonts w:eastAsia="Arial Unicode MS"/>
          <w:sz w:val="30"/>
          <w:szCs w:val="30"/>
        </w:rPr>
      </w:pPr>
      <w:r w:rsidRPr="00AC3226">
        <w:rPr>
          <w:rFonts w:eastAsia="Arial Unicode MS"/>
          <w:sz w:val="30"/>
          <w:szCs w:val="30"/>
        </w:rPr>
        <w:lastRenderedPageBreak/>
        <w:t>that the deceased had four sons irrespective of whether they were legitimate or illegitimate</w:t>
      </w:r>
      <w:r>
        <w:rPr>
          <w:rFonts w:eastAsia="Arial Unicode MS"/>
          <w:sz w:val="30"/>
          <w:szCs w:val="30"/>
        </w:rPr>
        <w:t>;</w:t>
      </w:r>
    </w:p>
    <w:p w:rsidR="009C3328" w:rsidRPr="009C3328" w:rsidRDefault="009C3328" w:rsidP="009C3328">
      <w:pPr>
        <w:pStyle w:val="ListParagraph"/>
        <w:tabs>
          <w:tab w:val="left" w:pos="630"/>
          <w:tab w:val="left" w:pos="1260"/>
        </w:tabs>
        <w:spacing w:line="480" w:lineRule="auto"/>
        <w:ind w:left="1260"/>
        <w:jc w:val="both"/>
        <w:rPr>
          <w:rFonts w:eastAsia="Arial Unicode MS"/>
          <w:sz w:val="30"/>
          <w:szCs w:val="30"/>
        </w:rPr>
      </w:pPr>
    </w:p>
    <w:p w:rsidR="00AC3226" w:rsidRDefault="00AC3226" w:rsidP="009C3328">
      <w:pPr>
        <w:pStyle w:val="ListParagraph"/>
        <w:numPr>
          <w:ilvl w:val="0"/>
          <w:numId w:val="4"/>
        </w:numPr>
        <w:tabs>
          <w:tab w:val="left" w:pos="630"/>
        </w:tabs>
        <w:spacing w:line="480" w:lineRule="auto"/>
        <w:ind w:left="1260" w:hanging="540"/>
        <w:jc w:val="both"/>
        <w:rPr>
          <w:rFonts w:eastAsia="Arial Unicode MS"/>
          <w:sz w:val="30"/>
          <w:szCs w:val="30"/>
        </w:rPr>
      </w:pPr>
      <w:r>
        <w:rPr>
          <w:rFonts w:eastAsia="Arial Unicode MS"/>
          <w:sz w:val="30"/>
          <w:szCs w:val="30"/>
        </w:rPr>
        <w:t>that in his lifetime the deceased and the appellant owned the disputed property in partnership;</w:t>
      </w:r>
    </w:p>
    <w:p w:rsidR="00AC3226" w:rsidRPr="00AC3226" w:rsidRDefault="00AC3226" w:rsidP="009C3328">
      <w:pPr>
        <w:pStyle w:val="ListParagraph"/>
        <w:spacing w:line="480" w:lineRule="auto"/>
        <w:rPr>
          <w:rFonts w:eastAsia="Arial Unicode MS"/>
          <w:sz w:val="30"/>
          <w:szCs w:val="30"/>
        </w:rPr>
      </w:pPr>
    </w:p>
    <w:p w:rsidR="00AC3226" w:rsidRDefault="00AC3226" w:rsidP="009C3328">
      <w:pPr>
        <w:pStyle w:val="ListParagraph"/>
        <w:numPr>
          <w:ilvl w:val="0"/>
          <w:numId w:val="4"/>
        </w:numPr>
        <w:tabs>
          <w:tab w:val="left" w:pos="630"/>
        </w:tabs>
        <w:spacing w:line="480" w:lineRule="auto"/>
        <w:ind w:left="1260" w:hanging="540"/>
        <w:jc w:val="both"/>
        <w:rPr>
          <w:rFonts w:eastAsia="Arial Unicode MS"/>
          <w:sz w:val="30"/>
          <w:szCs w:val="30"/>
        </w:rPr>
      </w:pPr>
      <w:r>
        <w:rPr>
          <w:rFonts w:eastAsia="Arial Unicode MS"/>
          <w:sz w:val="30"/>
          <w:szCs w:val="30"/>
        </w:rPr>
        <w:t xml:space="preserve">that the probable intention of the deceased was to </w:t>
      </w:r>
      <w:r w:rsidR="00700186">
        <w:rPr>
          <w:rFonts w:eastAsia="Arial Unicode MS"/>
          <w:sz w:val="30"/>
          <w:szCs w:val="30"/>
        </w:rPr>
        <w:t>divide up the property so as to avoid a family dispute “by taking as his share the four portions designated in the plan for his sons and by agreeing that the remaining portion would represent the respondent’s (now appellant’s) share arising from the partnership.”</w:t>
      </w:r>
    </w:p>
    <w:p w:rsidR="00700186" w:rsidRDefault="00700186" w:rsidP="00700186">
      <w:pPr>
        <w:pStyle w:val="ListParagraph"/>
        <w:rPr>
          <w:rFonts w:eastAsia="Arial Unicode MS"/>
          <w:sz w:val="30"/>
          <w:szCs w:val="30"/>
        </w:rPr>
      </w:pPr>
    </w:p>
    <w:p w:rsidR="009C3328" w:rsidRPr="00700186" w:rsidRDefault="009C3328" w:rsidP="00700186">
      <w:pPr>
        <w:pStyle w:val="ListParagraph"/>
        <w:rPr>
          <w:rFonts w:eastAsia="Arial Unicode MS"/>
          <w:sz w:val="30"/>
          <w:szCs w:val="30"/>
        </w:rPr>
      </w:pPr>
    </w:p>
    <w:p w:rsidR="00700186" w:rsidRDefault="00700186" w:rsidP="00700186">
      <w:pPr>
        <w:tabs>
          <w:tab w:val="left" w:pos="630"/>
        </w:tabs>
        <w:spacing w:line="480" w:lineRule="auto"/>
        <w:ind w:left="720" w:hanging="720"/>
        <w:jc w:val="both"/>
        <w:rPr>
          <w:rFonts w:eastAsia="Arial Unicode MS"/>
          <w:sz w:val="30"/>
          <w:szCs w:val="30"/>
        </w:rPr>
      </w:pPr>
      <w:r>
        <w:rPr>
          <w:rFonts w:eastAsia="Arial Unicode MS"/>
          <w:sz w:val="30"/>
          <w:szCs w:val="30"/>
        </w:rPr>
        <w:t>[1</w:t>
      </w:r>
      <w:r w:rsidR="004D2430">
        <w:rPr>
          <w:rFonts w:eastAsia="Arial Unicode MS"/>
          <w:sz w:val="30"/>
          <w:szCs w:val="30"/>
        </w:rPr>
        <w:t>4</w:t>
      </w:r>
      <w:r>
        <w:rPr>
          <w:rFonts w:eastAsia="Arial Unicode MS"/>
          <w:sz w:val="30"/>
          <w:szCs w:val="30"/>
        </w:rPr>
        <w:t>]</w:t>
      </w:r>
      <w:r>
        <w:rPr>
          <w:rFonts w:eastAsia="Arial Unicode MS"/>
          <w:sz w:val="30"/>
          <w:szCs w:val="30"/>
        </w:rPr>
        <w:tab/>
        <w:t>The parties are on common ground that the deceased passed away on 8 January 1991.</w:t>
      </w:r>
    </w:p>
    <w:p w:rsidR="00700186" w:rsidRDefault="00700186" w:rsidP="00700186">
      <w:pPr>
        <w:tabs>
          <w:tab w:val="left" w:pos="630"/>
        </w:tabs>
        <w:spacing w:line="480" w:lineRule="auto"/>
        <w:jc w:val="both"/>
        <w:rPr>
          <w:rFonts w:eastAsia="Arial Unicode MS"/>
          <w:sz w:val="30"/>
          <w:szCs w:val="30"/>
        </w:rPr>
      </w:pPr>
    </w:p>
    <w:p w:rsidR="00700186" w:rsidRDefault="00700186" w:rsidP="002142B6">
      <w:pPr>
        <w:tabs>
          <w:tab w:val="left" w:pos="720"/>
        </w:tabs>
        <w:spacing w:line="480" w:lineRule="auto"/>
        <w:ind w:left="634" w:hanging="634"/>
        <w:jc w:val="both"/>
        <w:rPr>
          <w:rFonts w:eastAsia="Arial Unicode MS"/>
          <w:sz w:val="30"/>
          <w:szCs w:val="30"/>
        </w:rPr>
      </w:pPr>
      <w:r>
        <w:rPr>
          <w:rFonts w:eastAsia="Arial Unicode MS"/>
          <w:sz w:val="30"/>
          <w:szCs w:val="30"/>
        </w:rPr>
        <w:t>[1</w:t>
      </w:r>
      <w:r w:rsidR="004D2430">
        <w:rPr>
          <w:rFonts w:eastAsia="Arial Unicode MS"/>
          <w:sz w:val="30"/>
          <w:szCs w:val="30"/>
        </w:rPr>
        <w:t>5</w:t>
      </w:r>
      <w:r>
        <w:rPr>
          <w:rFonts w:eastAsia="Arial Unicode MS"/>
          <w:sz w:val="30"/>
          <w:szCs w:val="30"/>
        </w:rPr>
        <w:t>]</w:t>
      </w:r>
      <w:r>
        <w:rPr>
          <w:rFonts w:eastAsia="Arial Unicode MS"/>
          <w:sz w:val="30"/>
          <w:szCs w:val="30"/>
        </w:rPr>
        <w:tab/>
      </w:r>
      <w:r w:rsidR="00773DEB">
        <w:rPr>
          <w:rFonts w:eastAsia="Arial Unicode MS"/>
          <w:sz w:val="30"/>
          <w:szCs w:val="30"/>
        </w:rPr>
        <w:t xml:space="preserve"> </w:t>
      </w:r>
      <w:r>
        <w:rPr>
          <w:rFonts w:eastAsia="Arial Unicode MS"/>
          <w:sz w:val="30"/>
          <w:szCs w:val="30"/>
        </w:rPr>
        <w:t>It is further common cause between the parties that on 19 August 1994, the appellant, in her capacity as the execut</w:t>
      </w:r>
      <w:r w:rsidR="00C83072">
        <w:rPr>
          <w:rFonts w:eastAsia="Arial Unicode MS"/>
          <w:sz w:val="30"/>
          <w:szCs w:val="30"/>
        </w:rPr>
        <w:t>rix</w:t>
      </w:r>
      <w:r>
        <w:rPr>
          <w:rFonts w:eastAsia="Arial Unicode MS"/>
          <w:sz w:val="30"/>
          <w:szCs w:val="30"/>
        </w:rPr>
        <w:t xml:space="preserve"> of the deceased’s </w:t>
      </w:r>
      <w:r w:rsidR="00773DEB">
        <w:rPr>
          <w:rFonts w:eastAsia="Arial Unicode MS"/>
          <w:sz w:val="30"/>
          <w:szCs w:val="30"/>
        </w:rPr>
        <w:t xml:space="preserve">estate, filed a liquidation and distribution account in </w:t>
      </w:r>
      <w:r w:rsidR="00773DEB">
        <w:rPr>
          <w:rFonts w:eastAsia="Arial Unicode MS"/>
          <w:sz w:val="30"/>
          <w:szCs w:val="30"/>
        </w:rPr>
        <w:lastRenderedPageBreak/>
        <w:t>the estate.</w:t>
      </w:r>
      <w:r w:rsidR="00B73481">
        <w:rPr>
          <w:rFonts w:eastAsia="Arial Unicode MS"/>
          <w:sz w:val="30"/>
          <w:szCs w:val="30"/>
        </w:rPr>
        <w:t xml:space="preserve">  In relevant part under the distribution account she recorded the following:-</w:t>
      </w:r>
    </w:p>
    <w:p w:rsidR="00B73481" w:rsidRDefault="00B73481" w:rsidP="00773DEB">
      <w:pPr>
        <w:tabs>
          <w:tab w:val="left" w:pos="720"/>
        </w:tabs>
        <w:spacing w:line="480" w:lineRule="auto"/>
        <w:ind w:left="630" w:hanging="630"/>
        <w:jc w:val="both"/>
        <w:rPr>
          <w:rFonts w:eastAsia="Arial Unicode MS"/>
          <w:sz w:val="30"/>
          <w:szCs w:val="30"/>
        </w:rPr>
      </w:pPr>
    </w:p>
    <w:p w:rsidR="00B73481" w:rsidRPr="00B73481" w:rsidRDefault="00B73481" w:rsidP="00BF58AF">
      <w:pPr>
        <w:tabs>
          <w:tab w:val="left" w:pos="720"/>
        </w:tabs>
        <w:spacing w:line="360" w:lineRule="auto"/>
        <w:ind w:left="1440" w:hanging="634"/>
        <w:jc w:val="both"/>
        <w:rPr>
          <w:rFonts w:eastAsia="Arial Unicode MS"/>
          <w:i/>
          <w:sz w:val="30"/>
          <w:szCs w:val="30"/>
        </w:rPr>
      </w:pPr>
      <w:r>
        <w:rPr>
          <w:rFonts w:eastAsia="Arial Unicode MS"/>
          <w:sz w:val="30"/>
          <w:szCs w:val="30"/>
        </w:rPr>
        <w:tab/>
      </w:r>
      <w:r>
        <w:rPr>
          <w:rFonts w:eastAsia="Arial Unicode MS"/>
          <w:i/>
          <w:sz w:val="30"/>
          <w:szCs w:val="30"/>
        </w:rPr>
        <w:t>“Remaining Extent of Farm of Portion 2 of Farm 950 awarded to Thandi Malaza in terms of court order in case No. 885/91 (deceased’s share) Portion 4</w:t>
      </w:r>
      <w:proofErr w:type="gramStart"/>
      <w:r>
        <w:rPr>
          <w:rFonts w:eastAsia="Arial Unicode MS"/>
          <w:i/>
          <w:sz w:val="30"/>
          <w:szCs w:val="30"/>
        </w:rPr>
        <w:t>,5</w:t>
      </w:r>
      <w:r w:rsidR="00132BBF">
        <w:rPr>
          <w:rFonts w:eastAsia="Arial Unicode MS"/>
          <w:i/>
          <w:sz w:val="30"/>
          <w:szCs w:val="30"/>
        </w:rPr>
        <w:t>,</w:t>
      </w:r>
      <w:r>
        <w:rPr>
          <w:rFonts w:eastAsia="Arial Unicode MS"/>
          <w:i/>
          <w:sz w:val="30"/>
          <w:szCs w:val="30"/>
        </w:rPr>
        <w:t>6</w:t>
      </w:r>
      <w:proofErr w:type="gramEnd"/>
      <w:r>
        <w:rPr>
          <w:rFonts w:eastAsia="Arial Unicode MS"/>
          <w:i/>
          <w:sz w:val="30"/>
          <w:szCs w:val="30"/>
        </w:rPr>
        <w:t xml:space="preserve"> and 7 awarded to Margaret Malaza in terms of her marriage in community of property to Henry Butana Malaza (to be sold or awarded to deceased’s </w:t>
      </w:r>
      <w:r>
        <w:rPr>
          <w:rFonts w:eastAsia="Arial Unicode MS"/>
          <w:i/>
          <w:sz w:val="30"/>
          <w:szCs w:val="30"/>
          <w:u w:val="single"/>
        </w:rPr>
        <w:t>male sons</w:t>
      </w:r>
      <w:r>
        <w:rPr>
          <w:rFonts w:eastAsia="Arial Unicode MS"/>
          <w:i/>
          <w:sz w:val="30"/>
          <w:szCs w:val="30"/>
        </w:rPr>
        <w:t xml:space="preserve"> who are to pay the cash shortfall of E 26,925 28 to settle the liabilities of the estate.” </w:t>
      </w:r>
      <w:r w:rsidRPr="00B73481">
        <w:rPr>
          <w:rFonts w:eastAsia="Arial Unicode MS"/>
          <w:sz w:val="30"/>
          <w:szCs w:val="30"/>
        </w:rPr>
        <w:t xml:space="preserve"> (Emphasis added.)</w:t>
      </w:r>
    </w:p>
    <w:p w:rsidR="00B73481" w:rsidRDefault="00B73481" w:rsidP="002142B6">
      <w:pPr>
        <w:tabs>
          <w:tab w:val="left" w:pos="720"/>
        </w:tabs>
        <w:spacing w:line="360" w:lineRule="auto"/>
        <w:jc w:val="both"/>
        <w:rPr>
          <w:rFonts w:eastAsia="Arial Unicode MS"/>
          <w:sz w:val="30"/>
          <w:szCs w:val="30"/>
        </w:rPr>
      </w:pPr>
    </w:p>
    <w:p w:rsidR="0057620F" w:rsidRDefault="00BF58AF" w:rsidP="00001250">
      <w:pPr>
        <w:tabs>
          <w:tab w:val="left" w:pos="180"/>
          <w:tab w:val="left" w:pos="720"/>
        </w:tabs>
        <w:spacing w:line="480" w:lineRule="auto"/>
        <w:ind w:left="634" w:hanging="634"/>
        <w:jc w:val="both"/>
        <w:rPr>
          <w:rFonts w:eastAsia="Arial Unicode MS"/>
          <w:sz w:val="30"/>
          <w:szCs w:val="30"/>
        </w:rPr>
      </w:pPr>
      <w:r>
        <w:rPr>
          <w:rFonts w:eastAsia="Arial Unicode MS"/>
          <w:sz w:val="30"/>
          <w:szCs w:val="30"/>
        </w:rPr>
        <w:t>[1</w:t>
      </w:r>
      <w:r w:rsidR="004D2430">
        <w:rPr>
          <w:rFonts w:eastAsia="Arial Unicode MS"/>
          <w:sz w:val="30"/>
          <w:szCs w:val="30"/>
        </w:rPr>
        <w:t>6</w:t>
      </w:r>
      <w:r w:rsidR="00935682">
        <w:rPr>
          <w:rFonts w:eastAsia="Arial Unicode MS"/>
          <w:sz w:val="30"/>
          <w:szCs w:val="30"/>
        </w:rPr>
        <w:t>] It</w:t>
      </w:r>
      <w:r w:rsidR="0057620F">
        <w:rPr>
          <w:rFonts w:eastAsia="Arial Unicode MS"/>
          <w:sz w:val="30"/>
          <w:szCs w:val="30"/>
        </w:rPr>
        <w:t xml:space="preserve"> is apparent f</w:t>
      </w:r>
      <w:r w:rsidR="00132BBF">
        <w:rPr>
          <w:rFonts w:eastAsia="Arial Unicode MS"/>
          <w:sz w:val="30"/>
          <w:szCs w:val="30"/>
        </w:rPr>
        <w:t>r</w:t>
      </w:r>
      <w:r w:rsidR="0057620F">
        <w:rPr>
          <w:rFonts w:eastAsia="Arial Unicode MS"/>
          <w:sz w:val="30"/>
          <w:szCs w:val="30"/>
        </w:rPr>
        <w:t xml:space="preserve">om the underlined words in the distribution account that it made no distinction between legitimate and illegitimate sons.  This, as will be recalled, was in accordance with the deceased’s intention.  It is, therefore, strange for the appellant to now claim that only legitimate sons should benefit from the deceased’s estate.  The respondent has </w:t>
      </w:r>
      <w:proofErr w:type="spellStart"/>
      <w:r w:rsidR="0057620F">
        <w:rPr>
          <w:rFonts w:eastAsia="Arial Unicode MS"/>
          <w:sz w:val="30"/>
          <w:szCs w:val="30"/>
        </w:rPr>
        <w:t>characteri</w:t>
      </w:r>
      <w:r w:rsidR="00132BBF">
        <w:rPr>
          <w:rFonts w:eastAsia="Arial Unicode MS"/>
          <w:sz w:val="30"/>
          <w:szCs w:val="30"/>
        </w:rPr>
        <w:t>s</w:t>
      </w:r>
      <w:r w:rsidR="0057620F">
        <w:rPr>
          <w:rFonts w:eastAsia="Arial Unicode MS"/>
          <w:sz w:val="30"/>
          <w:szCs w:val="30"/>
        </w:rPr>
        <w:t>ed</w:t>
      </w:r>
      <w:proofErr w:type="spellEnd"/>
      <w:r w:rsidR="0057620F">
        <w:rPr>
          <w:rFonts w:eastAsia="Arial Unicode MS"/>
          <w:sz w:val="30"/>
          <w:szCs w:val="30"/>
        </w:rPr>
        <w:t xml:space="preserve"> this as unfair discrimination.  I agree.</w:t>
      </w:r>
      <w:r>
        <w:rPr>
          <w:rFonts w:eastAsia="Arial Unicode MS"/>
          <w:sz w:val="30"/>
          <w:szCs w:val="30"/>
        </w:rPr>
        <w:tab/>
      </w:r>
    </w:p>
    <w:p w:rsidR="0057620F" w:rsidRDefault="0057620F" w:rsidP="00B73481">
      <w:pPr>
        <w:tabs>
          <w:tab w:val="left" w:pos="720"/>
        </w:tabs>
        <w:spacing w:line="360" w:lineRule="auto"/>
        <w:ind w:left="630" w:hanging="630"/>
        <w:jc w:val="both"/>
        <w:rPr>
          <w:rFonts w:eastAsia="Arial Unicode MS"/>
          <w:sz w:val="30"/>
          <w:szCs w:val="30"/>
        </w:rPr>
      </w:pPr>
    </w:p>
    <w:p w:rsidR="00A1445C" w:rsidRDefault="0057620F" w:rsidP="002142B6">
      <w:pPr>
        <w:tabs>
          <w:tab w:val="left" w:pos="720"/>
        </w:tabs>
        <w:spacing w:line="480" w:lineRule="auto"/>
        <w:ind w:left="634" w:hanging="634"/>
        <w:jc w:val="both"/>
        <w:rPr>
          <w:rFonts w:eastAsia="Arial Unicode MS"/>
          <w:sz w:val="30"/>
          <w:szCs w:val="30"/>
        </w:rPr>
      </w:pPr>
      <w:r>
        <w:rPr>
          <w:rFonts w:eastAsia="Arial Unicode MS"/>
          <w:sz w:val="30"/>
          <w:szCs w:val="30"/>
        </w:rPr>
        <w:lastRenderedPageBreak/>
        <w:t>[1</w:t>
      </w:r>
      <w:r w:rsidR="004D2430">
        <w:rPr>
          <w:rFonts w:eastAsia="Arial Unicode MS"/>
          <w:sz w:val="30"/>
          <w:szCs w:val="30"/>
        </w:rPr>
        <w:t>7</w:t>
      </w:r>
      <w:r>
        <w:rPr>
          <w:rFonts w:eastAsia="Arial Unicode MS"/>
          <w:sz w:val="30"/>
          <w:szCs w:val="30"/>
        </w:rPr>
        <w:t>]</w:t>
      </w:r>
      <w:r>
        <w:rPr>
          <w:rFonts w:eastAsia="Arial Unicode MS"/>
          <w:sz w:val="30"/>
          <w:szCs w:val="30"/>
        </w:rPr>
        <w:tab/>
      </w:r>
      <w:r w:rsidR="00A1445C">
        <w:rPr>
          <w:rFonts w:eastAsia="Arial Unicode MS"/>
          <w:sz w:val="30"/>
          <w:szCs w:val="30"/>
        </w:rPr>
        <w:t xml:space="preserve">It follows from these considerations, in my view, that there are absolutely no prospects of success on appeal.  The judgment of the </w:t>
      </w:r>
      <w:r w:rsidR="00A1445C" w:rsidRPr="00A1445C">
        <w:rPr>
          <w:rFonts w:eastAsia="Arial Unicode MS"/>
          <w:i/>
          <w:sz w:val="30"/>
          <w:szCs w:val="30"/>
        </w:rPr>
        <w:t>court a quo</w:t>
      </w:r>
      <w:r w:rsidR="00A1445C">
        <w:rPr>
          <w:rFonts w:eastAsia="Arial Unicode MS"/>
          <w:sz w:val="30"/>
          <w:szCs w:val="30"/>
        </w:rPr>
        <w:t xml:space="preserve"> cannot be faulted.</w:t>
      </w:r>
    </w:p>
    <w:p w:rsidR="00A1445C" w:rsidRDefault="00A1445C" w:rsidP="002142B6">
      <w:pPr>
        <w:tabs>
          <w:tab w:val="left" w:pos="720"/>
        </w:tabs>
        <w:spacing w:line="480" w:lineRule="auto"/>
        <w:ind w:left="634" w:hanging="634"/>
        <w:jc w:val="both"/>
        <w:rPr>
          <w:rFonts w:eastAsia="Arial Unicode MS"/>
          <w:sz w:val="30"/>
          <w:szCs w:val="30"/>
        </w:rPr>
      </w:pPr>
    </w:p>
    <w:p w:rsidR="00A1445C" w:rsidRDefault="00A1445C" w:rsidP="00935682">
      <w:pPr>
        <w:tabs>
          <w:tab w:val="left" w:pos="720"/>
          <w:tab w:val="left" w:pos="1440"/>
        </w:tabs>
        <w:spacing w:line="360" w:lineRule="auto"/>
        <w:ind w:left="630" w:hanging="630"/>
        <w:jc w:val="both"/>
        <w:rPr>
          <w:rFonts w:eastAsia="Arial Unicode MS"/>
          <w:sz w:val="30"/>
          <w:szCs w:val="30"/>
        </w:rPr>
      </w:pPr>
      <w:r>
        <w:rPr>
          <w:rFonts w:eastAsia="Arial Unicode MS"/>
          <w:sz w:val="30"/>
          <w:szCs w:val="30"/>
        </w:rPr>
        <w:t>[1</w:t>
      </w:r>
      <w:r w:rsidR="004D2430">
        <w:rPr>
          <w:rFonts w:eastAsia="Arial Unicode MS"/>
          <w:sz w:val="30"/>
          <w:szCs w:val="30"/>
        </w:rPr>
        <w:t>8</w:t>
      </w:r>
      <w:r>
        <w:rPr>
          <w:rFonts w:eastAsia="Arial Unicode MS"/>
          <w:sz w:val="30"/>
          <w:szCs w:val="30"/>
        </w:rPr>
        <w:t>]</w:t>
      </w:r>
      <w:r>
        <w:rPr>
          <w:rFonts w:eastAsia="Arial Unicode MS"/>
          <w:sz w:val="30"/>
          <w:szCs w:val="30"/>
        </w:rPr>
        <w:tab/>
        <w:t>In the result, the following order is made:-</w:t>
      </w:r>
    </w:p>
    <w:p w:rsidR="00A1445C" w:rsidRDefault="00A1445C" w:rsidP="00B73481">
      <w:pPr>
        <w:tabs>
          <w:tab w:val="left" w:pos="720"/>
        </w:tabs>
        <w:spacing w:line="360" w:lineRule="auto"/>
        <w:ind w:left="630" w:hanging="630"/>
        <w:jc w:val="both"/>
        <w:rPr>
          <w:rFonts w:eastAsia="Arial Unicode MS"/>
          <w:sz w:val="30"/>
          <w:szCs w:val="30"/>
        </w:rPr>
      </w:pPr>
    </w:p>
    <w:p w:rsidR="00A1445C" w:rsidRDefault="00A1445C" w:rsidP="002142B6">
      <w:pPr>
        <w:pStyle w:val="ListParagraph"/>
        <w:numPr>
          <w:ilvl w:val="0"/>
          <w:numId w:val="5"/>
        </w:numPr>
        <w:tabs>
          <w:tab w:val="left" w:pos="720"/>
          <w:tab w:val="left" w:pos="1170"/>
        </w:tabs>
        <w:spacing w:line="480" w:lineRule="auto"/>
        <w:ind w:left="1260" w:hanging="630"/>
        <w:jc w:val="both"/>
        <w:rPr>
          <w:rFonts w:eastAsia="Arial Unicode MS"/>
          <w:sz w:val="30"/>
          <w:szCs w:val="30"/>
        </w:rPr>
      </w:pPr>
      <w:r>
        <w:rPr>
          <w:rFonts w:eastAsia="Arial Unicode MS"/>
          <w:sz w:val="30"/>
          <w:szCs w:val="30"/>
        </w:rPr>
        <w:t xml:space="preserve"> The appellant’s application for condonation of the late filing of her appeal as well as leave to pursue the appeal is hereby dismissed.</w:t>
      </w:r>
    </w:p>
    <w:p w:rsidR="00A1445C" w:rsidRDefault="00A1445C" w:rsidP="002142B6">
      <w:pPr>
        <w:pStyle w:val="ListParagraph"/>
        <w:tabs>
          <w:tab w:val="left" w:pos="720"/>
        </w:tabs>
        <w:spacing w:line="480" w:lineRule="auto"/>
        <w:ind w:left="990"/>
        <w:jc w:val="both"/>
        <w:rPr>
          <w:rFonts w:eastAsia="Arial Unicode MS"/>
          <w:sz w:val="30"/>
          <w:szCs w:val="30"/>
        </w:rPr>
      </w:pPr>
    </w:p>
    <w:p w:rsidR="00A1445C" w:rsidRDefault="00A1445C" w:rsidP="002142B6">
      <w:pPr>
        <w:pStyle w:val="ListParagraph"/>
        <w:numPr>
          <w:ilvl w:val="0"/>
          <w:numId w:val="5"/>
        </w:numPr>
        <w:tabs>
          <w:tab w:val="left" w:pos="720"/>
        </w:tabs>
        <w:spacing w:line="480" w:lineRule="auto"/>
        <w:ind w:left="1268" w:hanging="634"/>
        <w:jc w:val="both"/>
        <w:rPr>
          <w:rFonts w:eastAsia="Arial Unicode MS"/>
          <w:sz w:val="30"/>
          <w:szCs w:val="30"/>
        </w:rPr>
      </w:pPr>
      <w:r>
        <w:rPr>
          <w:rFonts w:eastAsia="Arial Unicode MS"/>
          <w:sz w:val="30"/>
          <w:szCs w:val="30"/>
        </w:rPr>
        <w:t xml:space="preserve"> The applicant shall bear the respondent’s costs of the application including the costs of hearing the merits of the purported appeal.</w:t>
      </w:r>
    </w:p>
    <w:p w:rsidR="00A1445C" w:rsidRPr="00A1445C" w:rsidRDefault="00A1445C" w:rsidP="00A1445C">
      <w:pPr>
        <w:pStyle w:val="ListParagraph"/>
        <w:rPr>
          <w:rFonts w:eastAsia="Arial Unicode MS"/>
          <w:sz w:val="30"/>
          <w:szCs w:val="30"/>
        </w:rPr>
      </w:pPr>
    </w:p>
    <w:p w:rsidR="00AC3226" w:rsidRPr="002142B6" w:rsidRDefault="00AC3226" w:rsidP="002142B6">
      <w:pPr>
        <w:tabs>
          <w:tab w:val="left" w:pos="720"/>
        </w:tabs>
        <w:spacing w:line="360" w:lineRule="auto"/>
        <w:jc w:val="both"/>
        <w:rPr>
          <w:rFonts w:eastAsia="Arial Unicode MS"/>
          <w:sz w:val="30"/>
          <w:szCs w:val="30"/>
        </w:rPr>
      </w:pPr>
    </w:p>
    <w:p w:rsidR="00D95700" w:rsidRPr="00A1445C" w:rsidRDefault="00D95700" w:rsidP="00A1445C">
      <w:pPr>
        <w:tabs>
          <w:tab w:val="left" w:pos="630"/>
        </w:tabs>
        <w:spacing w:line="480" w:lineRule="auto"/>
        <w:ind w:left="720" w:hanging="720"/>
        <w:jc w:val="both"/>
        <w:rPr>
          <w:rFonts w:eastAsia="Arial Unicode MS"/>
          <w:sz w:val="30"/>
          <w:szCs w:val="30"/>
        </w:rPr>
      </w:pPr>
    </w:p>
    <w:p w:rsidR="00D95700" w:rsidRDefault="00D95700" w:rsidP="00D95700">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D95700" w:rsidRDefault="00D95700" w:rsidP="00D95700">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D95700" w:rsidRPr="00C3028C" w:rsidRDefault="00D95700" w:rsidP="00D95700">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D95700" w:rsidRPr="00775896" w:rsidRDefault="00D95700" w:rsidP="00D95700">
      <w:pPr>
        <w:spacing w:line="360" w:lineRule="auto"/>
        <w:ind w:left="720" w:hanging="720"/>
        <w:jc w:val="both"/>
        <w:rPr>
          <w:rFonts w:eastAsia="Arial Unicode MS"/>
          <w:b/>
          <w:sz w:val="30"/>
          <w:szCs w:val="30"/>
        </w:rPr>
      </w:pPr>
    </w:p>
    <w:p w:rsidR="00D95700" w:rsidRPr="00C97530" w:rsidRDefault="00D95700" w:rsidP="00D95700">
      <w:pPr>
        <w:spacing w:line="360" w:lineRule="auto"/>
        <w:jc w:val="both"/>
        <w:rPr>
          <w:rFonts w:eastAsia="Arial Unicode MS"/>
          <w:sz w:val="30"/>
          <w:szCs w:val="30"/>
        </w:rPr>
      </w:pPr>
    </w:p>
    <w:p w:rsidR="00D95700" w:rsidRDefault="00D95700" w:rsidP="00A1445C">
      <w:pPr>
        <w:spacing w:line="360" w:lineRule="auto"/>
        <w:jc w:val="both"/>
        <w:rPr>
          <w:rFonts w:eastAsia="Arial Unicode MS"/>
          <w:b/>
          <w:sz w:val="30"/>
          <w:szCs w:val="30"/>
        </w:rPr>
      </w:pPr>
    </w:p>
    <w:p w:rsidR="002142B6" w:rsidRDefault="002142B6" w:rsidP="00D95700">
      <w:pPr>
        <w:spacing w:line="360" w:lineRule="auto"/>
        <w:ind w:left="720" w:hanging="720"/>
        <w:jc w:val="both"/>
        <w:rPr>
          <w:rFonts w:eastAsia="Arial Unicode MS"/>
          <w:b/>
          <w:sz w:val="30"/>
          <w:szCs w:val="30"/>
        </w:rPr>
      </w:pPr>
    </w:p>
    <w:p w:rsidR="002142B6" w:rsidRDefault="002142B6" w:rsidP="00D95700">
      <w:pPr>
        <w:spacing w:line="360" w:lineRule="auto"/>
        <w:ind w:left="720" w:hanging="720"/>
        <w:jc w:val="both"/>
        <w:rPr>
          <w:rFonts w:eastAsia="Arial Unicode MS"/>
          <w:b/>
          <w:sz w:val="30"/>
          <w:szCs w:val="30"/>
        </w:rPr>
      </w:pPr>
    </w:p>
    <w:p w:rsidR="002142B6" w:rsidRDefault="002142B6" w:rsidP="00D95700">
      <w:pPr>
        <w:spacing w:line="360" w:lineRule="auto"/>
        <w:ind w:left="720" w:hanging="720"/>
        <w:jc w:val="both"/>
        <w:rPr>
          <w:rFonts w:eastAsia="Arial Unicode MS"/>
          <w:b/>
          <w:sz w:val="30"/>
          <w:szCs w:val="30"/>
        </w:rPr>
      </w:pPr>
    </w:p>
    <w:p w:rsidR="00D95700" w:rsidRPr="00775896" w:rsidRDefault="00D95700" w:rsidP="00D95700">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D95700" w:rsidRDefault="00D95700" w:rsidP="00D95700">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MCB MAPHALALA </w:t>
      </w:r>
    </w:p>
    <w:p w:rsidR="00D95700" w:rsidRDefault="00D95700" w:rsidP="00D95700">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D95700" w:rsidRDefault="00D95700" w:rsidP="00D95700">
      <w:pPr>
        <w:spacing w:line="360" w:lineRule="auto"/>
        <w:ind w:left="720" w:hanging="720"/>
        <w:jc w:val="both"/>
        <w:rPr>
          <w:rFonts w:eastAsia="Arial Unicode MS"/>
          <w:b/>
          <w:sz w:val="30"/>
          <w:szCs w:val="30"/>
        </w:rPr>
      </w:pPr>
    </w:p>
    <w:p w:rsidR="00D95700" w:rsidRDefault="00D95700" w:rsidP="00D95700">
      <w:pPr>
        <w:spacing w:line="360" w:lineRule="auto"/>
        <w:ind w:left="720" w:hanging="720"/>
        <w:jc w:val="both"/>
        <w:rPr>
          <w:rFonts w:eastAsia="Arial Unicode MS"/>
          <w:b/>
          <w:sz w:val="30"/>
          <w:szCs w:val="30"/>
        </w:rPr>
      </w:pPr>
    </w:p>
    <w:p w:rsidR="00D95700" w:rsidRDefault="00D95700" w:rsidP="00D95700">
      <w:pPr>
        <w:spacing w:line="360" w:lineRule="auto"/>
        <w:jc w:val="both"/>
        <w:rPr>
          <w:rFonts w:eastAsia="Arial Unicode MS"/>
          <w:b/>
          <w:sz w:val="30"/>
          <w:szCs w:val="30"/>
        </w:rPr>
      </w:pPr>
    </w:p>
    <w:p w:rsidR="00D95700" w:rsidRPr="00C3028C" w:rsidRDefault="00D95700" w:rsidP="00D95700">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D95700" w:rsidRDefault="00D95700" w:rsidP="00D95700">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DR. B.J. ODOKI</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D95700" w:rsidRDefault="00D95700" w:rsidP="00D95700">
      <w:pPr>
        <w:spacing w:line="360" w:lineRule="auto"/>
        <w:jc w:val="both"/>
        <w:rPr>
          <w:rFonts w:eastAsia="Arial Unicode MS"/>
          <w:b/>
          <w:sz w:val="30"/>
          <w:szCs w:val="30"/>
        </w:rPr>
      </w:pPr>
    </w:p>
    <w:p w:rsidR="00D95700" w:rsidRDefault="00D95700" w:rsidP="00D95700">
      <w:pPr>
        <w:spacing w:line="360" w:lineRule="auto"/>
        <w:jc w:val="both"/>
        <w:rPr>
          <w:rFonts w:eastAsia="Arial Unicode MS"/>
          <w:b/>
          <w:sz w:val="30"/>
          <w:szCs w:val="30"/>
        </w:rPr>
      </w:pPr>
    </w:p>
    <w:p w:rsidR="00D95700" w:rsidRPr="00A1445C" w:rsidRDefault="00D95700" w:rsidP="00D95700">
      <w:pPr>
        <w:spacing w:line="360" w:lineRule="auto"/>
        <w:ind w:left="720" w:hanging="720"/>
        <w:jc w:val="both"/>
        <w:rPr>
          <w:rFonts w:eastAsia="Arial Unicode MS"/>
          <w:sz w:val="30"/>
          <w:szCs w:val="30"/>
        </w:rPr>
      </w:pPr>
      <w:r w:rsidRPr="00775896">
        <w:rPr>
          <w:rFonts w:eastAsia="Arial Unicode MS"/>
          <w:b/>
          <w:sz w:val="30"/>
          <w:szCs w:val="30"/>
        </w:rPr>
        <w:t xml:space="preserve">For Appellant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t xml:space="preserve"> </w:t>
      </w:r>
      <w:r w:rsidR="00A1445C" w:rsidRPr="00A1445C">
        <w:rPr>
          <w:rFonts w:eastAsia="Arial Unicode MS"/>
          <w:sz w:val="30"/>
          <w:szCs w:val="30"/>
        </w:rPr>
        <w:t>Mr M. Mabila</w:t>
      </w:r>
    </w:p>
    <w:p w:rsidR="00D95700" w:rsidRPr="00775896" w:rsidRDefault="00D95700" w:rsidP="00D95700">
      <w:pPr>
        <w:spacing w:line="360" w:lineRule="auto"/>
        <w:ind w:left="720" w:hanging="720"/>
        <w:jc w:val="both"/>
        <w:rPr>
          <w:rFonts w:eastAsia="Arial Unicode MS"/>
          <w:b/>
          <w:sz w:val="30"/>
          <w:szCs w:val="30"/>
        </w:rPr>
      </w:pPr>
    </w:p>
    <w:p w:rsidR="00D95700" w:rsidRDefault="00D95700" w:rsidP="00D95700">
      <w:pPr>
        <w:rPr>
          <w:rFonts w:eastAsia="Arial Unicode MS"/>
          <w:b/>
          <w:sz w:val="30"/>
          <w:szCs w:val="30"/>
        </w:rPr>
      </w:pPr>
      <w:r w:rsidRPr="00775896">
        <w:rPr>
          <w:rFonts w:eastAsia="Arial Unicode MS"/>
          <w:b/>
          <w:sz w:val="30"/>
          <w:szCs w:val="30"/>
        </w:rPr>
        <w:t>For 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00A1445C">
        <w:rPr>
          <w:rFonts w:eastAsia="Arial Unicode MS"/>
          <w:b/>
          <w:sz w:val="30"/>
          <w:szCs w:val="30"/>
        </w:rPr>
        <w:t xml:space="preserve">  </w:t>
      </w:r>
      <w:r w:rsidR="00A1445C" w:rsidRPr="00A1445C">
        <w:rPr>
          <w:rFonts w:eastAsia="Arial Unicode MS"/>
          <w:sz w:val="30"/>
          <w:szCs w:val="30"/>
        </w:rPr>
        <w:t>Mr N.W. Fakudze</w:t>
      </w:r>
      <w:r w:rsidR="00A1445C">
        <w:rPr>
          <w:rFonts w:eastAsia="Arial Unicode MS"/>
          <w:b/>
          <w:sz w:val="30"/>
          <w:szCs w:val="30"/>
        </w:rPr>
        <w:t xml:space="preserve"> </w:t>
      </w:r>
    </w:p>
    <w:p w:rsidR="00D95700" w:rsidRPr="00775896" w:rsidRDefault="00D95700" w:rsidP="00D95700">
      <w:pPr>
        <w:ind w:left="3600" w:firstLine="720"/>
        <w:rPr>
          <w:sz w:val="30"/>
          <w:szCs w:val="30"/>
        </w:rPr>
      </w:pPr>
      <w:r w:rsidRPr="00775896">
        <w:rPr>
          <w:rFonts w:eastAsia="Arial Unicode MS"/>
          <w:b/>
          <w:sz w:val="30"/>
          <w:szCs w:val="30"/>
        </w:rPr>
        <w:tab/>
      </w:r>
    </w:p>
    <w:p w:rsidR="00D95700" w:rsidRPr="00775896" w:rsidRDefault="00D95700" w:rsidP="00D95700">
      <w:pPr>
        <w:rPr>
          <w:sz w:val="30"/>
          <w:szCs w:val="30"/>
        </w:rPr>
      </w:pPr>
    </w:p>
    <w:p w:rsidR="00D95700" w:rsidRPr="00775896" w:rsidRDefault="00D95700" w:rsidP="00D95700">
      <w:pPr>
        <w:rPr>
          <w:sz w:val="30"/>
          <w:szCs w:val="30"/>
        </w:rPr>
      </w:pPr>
    </w:p>
    <w:p w:rsidR="00D95700" w:rsidRPr="00775896" w:rsidRDefault="00D95700" w:rsidP="00D95700">
      <w:pPr>
        <w:rPr>
          <w:sz w:val="32"/>
          <w:szCs w:val="32"/>
        </w:rPr>
      </w:pPr>
    </w:p>
    <w:p w:rsidR="00D95700" w:rsidRDefault="00D95700" w:rsidP="00D95700"/>
    <w:p w:rsidR="00D95700" w:rsidRDefault="00D95700" w:rsidP="00D95700"/>
    <w:p w:rsidR="00D95700" w:rsidRDefault="00D95700" w:rsidP="00D95700"/>
    <w:p w:rsidR="00D95700" w:rsidRDefault="00D95700" w:rsidP="00D95700"/>
    <w:p w:rsidR="00861CF9" w:rsidRDefault="00943F62"/>
    <w:sectPr w:rsidR="00861CF9" w:rsidSect="0064625B">
      <w:footerReference w:type="even" r:id="rId9"/>
      <w:footerReference w:type="default" r:id="rId10"/>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62" w:rsidRDefault="00943F62" w:rsidP="00E22BA8">
      <w:r>
        <w:separator/>
      </w:r>
    </w:p>
  </w:endnote>
  <w:endnote w:type="continuationSeparator" w:id="0">
    <w:p w:rsidR="00943F62" w:rsidRDefault="00943F62" w:rsidP="00E22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D21A3B" w:rsidP="00171910">
    <w:pPr>
      <w:pStyle w:val="Footer"/>
      <w:framePr w:wrap="around" w:vAnchor="text" w:hAnchor="margin" w:xAlign="center" w:y="1"/>
      <w:rPr>
        <w:rStyle w:val="PageNumber"/>
      </w:rPr>
    </w:pPr>
    <w:r>
      <w:rPr>
        <w:rStyle w:val="PageNumber"/>
      </w:rPr>
      <w:fldChar w:fldCharType="begin"/>
    </w:r>
    <w:r w:rsidR="000E3939">
      <w:rPr>
        <w:rStyle w:val="PageNumber"/>
      </w:rPr>
      <w:instrText xml:space="preserve">PAGE  </w:instrText>
    </w:r>
    <w:r>
      <w:rPr>
        <w:rStyle w:val="PageNumber"/>
      </w:rPr>
      <w:fldChar w:fldCharType="end"/>
    </w:r>
  </w:p>
  <w:p w:rsidR="001C502F" w:rsidRDefault="00943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D21A3B" w:rsidP="00171910">
    <w:pPr>
      <w:pStyle w:val="Footer"/>
      <w:framePr w:wrap="around" w:vAnchor="text" w:hAnchor="margin" w:xAlign="center" w:y="1"/>
      <w:rPr>
        <w:rStyle w:val="PageNumber"/>
      </w:rPr>
    </w:pPr>
    <w:r>
      <w:rPr>
        <w:rStyle w:val="PageNumber"/>
      </w:rPr>
      <w:fldChar w:fldCharType="begin"/>
    </w:r>
    <w:r w:rsidR="000E3939">
      <w:rPr>
        <w:rStyle w:val="PageNumber"/>
      </w:rPr>
      <w:instrText xml:space="preserve">PAGE  </w:instrText>
    </w:r>
    <w:r>
      <w:rPr>
        <w:rStyle w:val="PageNumber"/>
      </w:rPr>
      <w:fldChar w:fldCharType="separate"/>
    </w:r>
    <w:r w:rsidR="006C5468">
      <w:rPr>
        <w:rStyle w:val="PageNumber"/>
        <w:noProof/>
      </w:rPr>
      <w:t>7</w:t>
    </w:r>
    <w:r>
      <w:rPr>
        <w:rStyle w:val="PageNumber"/>
      </w:rPr>
      <w:fldChar w:fldCharType="end"/>
    </w:r>
  </w:p>
  <w:p w:rsidR="001C502F" w:rsidRDefault="00943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62" w:rsidRDefault="00943F62" w:rsidP="00E22BA8">
      <w:r>
        <w:separator/>
      </w:r>
    </w:p>
  </w:footnote>
  <w:footnote w:type="continuationSeparator" w:id="0">
    <w:p w:rsidR="00943F62" w:rsidRDefault="00943F62" w:rsidP="00E22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542"/>
    <w:multiLevelType w:val="hybridMultilevel"/>
    <w:tmpl w:val="59FC8EEE"/>
    <w:lvl w:ilvl="0" w:tplc="A5288B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85693E"/>
    <w:multiLevelType w:val="hybridMultilevel"/>
    <w:tmpl w:val="F968CF58"/>
    <w:lvl w:ilvl="0" w:tplc="D818D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17236B"/>
    <w:multiLevelType w:val="hybridMultilevel"/>
    <w:tmpl w:val="857EAA22"/>
    <w:lvl w:ilvl="0" w:tplc="69CC58D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8249F"/>
    <w:multiLevelType w:val="hybridMultilevel"/>
    <w:tmpl w:val="F6F60706"/>
    <w:lvl w:ilvl="0" w:tplc="066223F0">
      <w:start w:val="1"/>
      <w:numFmt w:val="decimal"/>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83112D"/>
    <w:multiLevelType w:val="hybridMultilevel"/>
    <w:tmpl w:val="B20265EC"/>
    <w:lvl w:ilvl="0" w:tplc="CFC0B2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700"/>
    <w:rsid w:val="00001250"/>
    <w:rsid w:val="000357BC"/>
    <w:rsid w:val="000B4632"/>
    <w:rsid w:val="000E3939"/>
    <w:rsid w:val="00132BBF"/>
    <w:rsid w:val="001A7647"/>
    <w:rsid w:val="002142B6"/>
    <w:rsid w:val="002535D6"/>
    <w:rsid w:val="00261A2B"/>
    <w:rsid w:val="00264169"/>
    <w:rsid w:val="00283B3A"/>
    <w:rsid w:val="002A568B"/>
    <w:rsid w:val="002E2FB2"/>
    <w:rsid w:val="003C436B"/>
    <w:rsid w:val="003E6BFF"/>
    <w:rsid w:val="004D2430"/>
    <w:rsid w:val="0057620F"/>
    <w:rsid w:val="006B405B"/>
    <w:rsid w:val="006C5468"/>
    <w:rsid w:val="00700186"/>
    <w:rsid w:val="007017B7"/>
    <w:rsid w:val="00766FF9"/>
    <w:rsid w:val="00773DEB"/>
    <w:rsid w:val="007D6D42"/>
    <w:rsid w:val="007E4600"/>
    <w:rsid w:val="00810C97"/>
    <w:rsid w:val="00913D7F"/>
    <w:rsid w:val="00935682"/>
    <w:rsid w:val="00943F62"/>
    <w:rsid w:val="00960DD2"/>
    <w:rsid w:val="009C3328"/>
    <w:rsid w:val="009D54D7"/>
    <w:rsid w:val="00A1445C"/>
    <w:rsid w:val="00AC3226"/>
    <w:rsid w:val="00AF7AFB"/>
    <w:rsid w:val="00B73481"/>
    <w:rsid w:val="00BF58AF"/>
    <w:rsid w:val="00C13DAF"/>
    <w:rsid w:val="00C77F27"/>
    <w:rsid w:val="00C83072"/>
    <w:rsid w:val="00D008D5"/>
    <w:rsid w:val="00D21A3B"/>
    <w:rsid w:val="00D301D0"/>
    <w:rsid w:val="00D53555"/>
    <w:rsid w:val="00D57FDC"/>
    <w:rsid w:val="00D93F96"/>
    <w:rsid w:val="00D95700"/>
    <w:rsid w:val="00DA1C44"/>
    <w:rsid w:val="00E22BA8"/>
    <w:rsid w:val="00F753F7"/>
    <w:rsid w:val="00F8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700"/>
    <w:pPr>
      <w:tabs>
        <w:tab w:val="center" w:pos="4320"/>
        <w:tab w:val="right" w:pos="8640"/>
      </w:tabs>
    </w:pPr>
  </w:style>
  <w:style w:type="character" w:customStyle="1" w:styleId="FooterChar">
    <w:name w:val="Footer Char"/>
    <w:basedOn w:val="DefaultParagraphFont"/>
    <w:link w:val="Footer"/>
    <w:rsid w:val="00D95700"/>
    <w:rPr>
      <w:rFonts w:ascii="Times New Roman" w:eastAsia="Times New Roman" w:hAnsi="Times New Roman" w:cs="Times New Roman"/>
      <w:sz w:val="24"/>
      <w:szCs w:val="24"/>
    </w:rPr>
  </w:style>
  <w:style w:type="character" w:styleId="PageNumber">
    <w:name w:val="page number"/>
    <w:basedOn w:val="DefaultParagraphFont"/>
    <w:rsid w:val="00D95700"/>
  </w:style>
  <w:style w:type="paragraph" w:styleId="ListParagraph">
    <w:name w:val="List Paragraph"/>
    <w:basedOn w:val="Normal"/>
    <w:uiPriority w:val="34"/>
    <w:qFormat/>
    <w:rsid w:val="00D95700"/>
    <w:pPr>
      <w:ind w:left="720"/>
      <w:contextualSpacing/>
    </w:pPr>
  </w:style>
  <w:style w:type="table" w:styleId="TableGrid">
    <w:name w:val="Table Grid"/>
    <w:basedOn w:val="TableNormal"/>
    <w:uiPriority w:val="59"/>
    <w:rsid w:val="00D95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700"/>
    <w:rPr>
      <w:rFonts w:ascii="Tahoma" w:hAnsi="Tahoma" w:cs="Tahoma"/>
      <w:sz w:val="16"/>
      <w:szCs w:val="16"/>
    </w:rPr>
  </w:style>
  <w:style w:type="character" w:customStyle="1" w:styleId="BalloonTextChar">
    <w:name w:val="Balloon Text Char"/>
    <w:basedOn w:val="DefaultParagraphFont"/>
    <w:link w:val="BalloonText"/>
    <w:uiPriority w:val="99"/>
    <w:semiHidden/>
    <w:rsid w:val="00D95700"/>
    <w:rPr>
      <w:rFonts w:ascii="Tahoma" w:eastAsia="Times New Roman" w:hAnsi="Tahoma" w:cs="Tahoma"/>
      <w:sz w:val="16"/>
      <w:szCs w:val="16"/>
    </w:rPr>
  </w:style>
  <w:style w:type="paragraph" w:styleId="Header">
    <w:name w:val="header"/>
    <w:basedOn w:val="Normal"/>
    <w:link w:val="HeaderChar"/>
    <w:uiPriority w:val="99"/>
    <w:semiHidden/>
    <w:unhideWhenUsed/>
    <w:rsid w:val="00D301D0"/>
    <w:pPr>
      <w:tabs>
        <w:tab w:val="center" w:pos="4680"/>
        <w:tab w:val="right" w:pos="9360"/>
      </w:tabs>
    </w:pPr>
  </w:style>
  <w:style w:type="character" w:customStyle="1" w:styleId="HeaderChar">
    <w:name w:val="Header Char"/>
    <w:basedOn w:val="DefaultParagraphFont"/>
    <w:link w:val="Header"/>
    <w:uiPriority w:val="99"/>
    <w:semiHidden/>
    <w:rsid w:val="00D301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298E-4353-43E2-8712-479A5CDF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s1003052</dc:creator>
  <cp:lastModifiedBy>s1003052</cp:lastModifiedBy>
  <cp:revision>35</cp:revision>
  <cp:lastPrinted>2014-11-19T07:34:00Z</cp:lastPrinted>
  <dcterms:created xsi:type="dcterms:W3CDTF">2014-11-17T10:40:00Z</dcterms:created>
  <dcterms:modified xsi:type="dcterms:W3CDTF">2014-11-19T07:34:00Z</dcterms:modified>
</cp:coreProperties>
</file>