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138" w:rsidRDefault="00DA1138" w:rsidP="00DA1138">
      <w:pPr>
        <w:jc w:val="center"/>
        <w:rPr>
          <w:rFonts w:ascii="Bookman Old Style" w:eastAsia="Arial Unicode MS" w:hAnsi="Bookman Old Style" w:cs="Arial Unicode MS"/>
        </w:rPr>
      </w:pPr>
      <w:r>
        <w:rPr>
          <w:rFonts w:ascii="Bookman Old Style" w:eastAsia="Arial Unicode MS" w:hAnsi="Bookman Old Style" w:cs="Arial Unicode MS"/>
          <w:noProof/>
        </w:rPr>
        <w:drawing>
          <wp:inline distT="0" distB="0" distL="0" distR="0">
            <wp:extent cx="2238375" cy="1400175"/>
            <wp:effectExtent l="19050" t="0" r="9525" b="0"/>
            <wp:docPr id="1"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 logo5"/>
                    <pic:cNvPicPr>
                      <a:picLocks noChangeAspect="1" noChangeArrowheads="1"/>
                    </pic:cNvPicPr>
                  </pic:nvPicPr>
                  <pic:blipFill>
                    <a:blip r:embed="rId8" cstate="print"/>
                    <a:srcRect/>
                    <a:stretch>
                      <a:fillRect/>
                    </a:stretch>
                  </pic:blipFill>
                  <pic:spPr bwMode="auto">
                    <a:xfrm>
                      <a:off x="0" y="0"/>
                      <a:ext cx="2238375" cy="1400175"/>
                    </a:xfrm>
                    <a:prstGeom prst="rect">
                      <a:avLst/>
                    </a:prstGeom>
                    <a:noFill/>
                    <a:ln w="9525">
                      <a:noFill/>
                      <a:miter lim="800000"/>
                      <a:headEnd/>
                      <a:tailEnd/>
                    </a:ln>
                  </pic:spPr>
                </pic:pic>
              </a:graphicData>
            </a:graphic>
          </wp:inline>
        </w:drawing>
      </w:r>
    </w:p>
    <w:p w:rsidR="00DA1138" w:rsidRPr="00A14D8D" w:rsidRDefault="00DA1138" w:rsidP="00DA1138">
      <w:pPr>
        <w:jc w:val="center"/>
        <w:rPr>
          <w:rFonts w:ascii="Bookman Old Style" w:eastAsia="Arial Unicode MS" w:hAnsi="Bookman Old Style" w:cs="Arial Unicode MS"/>
        </w:rPr>
      </w:pPr>
    </w:p>
    <w:p w:rsidR="00DA1138" w:rsidRPr="00775896" w:rsidRDefault="00DA1138" w:rsidP="00DA1138">
      <w:pPr>
        <w:jc w:val="center"/>
        <w:outlineLvl w:val="0"/>
        <w:rPr>
          <w:rFonts w:eastAsia="Arial Unicode MS"/>
          <w:b/>
          <w:sz w:val="32"/>
          <w:szCs w:val="32"/>
        </w:rPr>
      </w:pPr>
      <w:r w:rsidRPr="00775896">
        <w:rPr>
          <w:rFonts w:eastAsia="Arial Unicode MS"/>
          <w:b/>
          <w:sz w:val="32"/>
          <w:szCs w:val="32"/>
        </w:rPr>
        <w:t xml:space="preserve">IN THE SUPREME COURT OF </w:t>
      </w:r>
      <w:smartTag w:uri="urn:schemas-microsoft-com:office:smarttags" w:element="place">
        <w:smartTag w:uri="urn:schemas-microsoft-com:office:smarttags" w:element="country-region">
          <w:r w:rsidRPr="00775896">
            <w:rPr>
              <w:rFonts w:eastAsia="Arial Unicode MS"/>
              <w:b/>
              <w:sz w:val="32"/>
              <w:szCs w:val="32"/>
            </w:rPr>
            <w:t>SWAZILAND</w:t>
          </w:r>
        </w:smartTag>
      </w:smartTag>
    </w:p>
    <w:p w:rsidR="00DA1138" w:rsidRPr="00775896" w:rsidRDefault="00DA1138" w:rsidP="00DA1138">
      <w:pPr>
        <w:jc w:val="center"/>
        <w:rPr>
          <w:rFonts w:eastAsia="Arial Unicode MS"/>
          <w:sz w:val="30"/>
          <w:szCs w:val="30"/>
        </w:rPr>
      </w:pPr>
    </w:p>
    <w:p w:rsidR="00DA1138" w:rsidRPr="000E275C" w:rsidRDefault="00DA1138" w:rsidP="00DA1138">
      <w:pPr>
        <w:jc w:val="both"/>
        <w:rPr>
          <w:rFonts w:eastAsia="Arial Unicode MS"/>
          <w:b/>
          <w:sz w:val="30"/>
          <w:szCs w:val="30"/>
        </w:rPr>
      </w:pPr>
      <w:r w:rsidRPr="000E275C">
        <w:rPr>
          <w:rFonts w:eastAsia="Arial Unicode MS"/>
          <w:b/>
          <w:sz w:val="30"/>
          <w:szCs w:val="30"/>
        </w:rPr>
        <w:t>HELD AT MBABANE</w:t>
      </w:r>
    </w:p>
    <w:p w:rsidR="00DA1138" w:rsidRPr="00775896" w:rsidRDefault="00DA1138" w:rsidP="00DA1138">
      <w:pPr>
        <w:jc w:val="both"/>
        <w:rPr>
          <w:rFonts w:eastAsia="Arial Unicode MS"/>
          <w:sz w:val="30"/>
          <w:szCs w:val="30"/>
        </w:rPr>
      </w:pPr>
    </w:p>
    <w:p w:rsidR="00DA1138" w:rsidRPr="00775896" w:rsidRDefault="00DA1138" w:rsidP="00DA1138">
      <w:pPr>
        <w:jc w:val="center"/>
        <w:rPr>
          <w:rFonts w:eastAsia="Arial Unicode MS"/>
          <w:b/>
          <w:sz w:val="30"/>
          <w:szCs w:val="30"/>
        </w:rPr>
      </w:pPr>
      <w:r w:rsidRPr="00775896">
        <w:rPr>
          <w:rFonts w:eastAsia="Arial Unicode MS"/>
          <w:b/>
          <w:sz w:val="30"/>
          <w:szCs w:val="30"/>
        </w:rPr>
        <w:t xml:space="preserve">JUDGMENT </w:t>
      </w:r>
    </w:p>
    <w:p w:rsidR="00DA1138" w:rsidRPr="00775896" w:rsidRDefault="00DA1138" w:rsidP="00DA1138">
      <w:pPr>
        <w:rPr>
          <w:rFonts w:eastAsia="Arial Unicode MS"/>
          <w:b/>
          <w:sz w:val="30"/>
          <w:szCs w:val="30"/>
        </w:rPr>
      </w:pPr>
    </w:p>
    <w:p w:rsidR="00DA1138" w:rsidRPr="00775896" w:rsidRDefault="00DA1138" w:rsidP="00DA1138">
      <w:pPr>
        <w:jc w:val="center"/>
        <w:rPr>
          <w:rFonts w:eastAsia="Arial Unicode MS"/>
          <w:b/>
          <w:sz w:val="30"/>
          <w:szCs w:val="30"/>
          <w:u w:val="single"/>
        </w:rPr>
      </w:pP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t xml:space="preserve">    </w:t>
      </w:r>
      <w:r w:rsidRPr="00775896">
        <w:rPr>
          <w:rFonts w:eastAsia="Arial Unicode MS"/>
          <w:b/>
          <w:sz w:val="30"/>
          <w:szCs w:val="30"/>
          <w:u w:val="single"/>
        </w:rPr>
        <w:t>C</w:t>
      </w:r>
      <w:r>
        <w:rPr>
          <w:rFonts w:eastAsia="Arial Unicode MS"/>
          <w:b/>
          <w:sz w:val="30"/>
          <w:szCs w:val="30"/>
          <w:u w:val="single"/>
        </w:rPr>
        <w:t xml:space="preserve">ivil </w:t>
      </w:r>
      <w:r w:rsidRPr="00775896">
        <w:rPr>
          <w:rFonts w:eastAsia="Arial Unicode MS"/>
          <w:b/>
          <w:sz w:val="30"/>
          <w:szCs w:val="30"/>
          <w:u w:val="single"/>
        </w:rPr>
        <w:t xml:space="preserve">Appeal </w:t>
      </w:r>
      <w:r>
        <w:rPr>
          <w:rFonts w:eastAsia="Arial Unicode MS"/>
          <w:b/>
          <w:sz w:val="30"/>
          <w:szCs w:val="30"/>
          <w:u w:val="single"/>
        </w:rPr>
        <w:t xml:space="preserve">Case </w:t>
      </w:r>
      <w:r w:rsidRPr="00775896">
        <w:rPr>
          <w:rFonts w:eastAsia="Arial Unicode MS"/>
          <w:b/>
          <w:sz w:val="30"/>
          <w:szCs w:val="30"/>
          <w:u w:val="single"/>
        </w:rPr>
        <w:t xml:space="preserve">No. </w:t>
      </w:r>
      <w:r>
        <w:rPr>
          <w:rFonts w:eastAsia="Arial Unicode MS"/>
          <w:b/>
          <w:sz w:val="30"/>
          <w:szCs w:val="30"/>
          <w:u w:val="single"/>
        </w:rPr>
        <w:t>47</w:t>
      </w:r>
      <w:r w:rsidRPr="00775896">
        <w:rPr>
          <w:rFonts w:eastAsia="Arial Unicode MS"/>
          <w:b/>
          <w:sz w:val="30"/>
          <w:szCs w:val="30"/>
          <w:u w:val="single"/>
        </w:rPr>
        <w:t>/</w:t>
      </w:r>
      <w:r>
        <w:rPr>
          <w:rFonts w:eastAsia="Arial Unicode MS"/>
          <w:b/>
          <w:sz w:val="30"/>
          <w:szCs w:val="30"/>
          <w:u w:val="single"/>
        </w:rPr>
        <w:t>20</w:t>
      </w:r>
      <w:r w:rsidRPr="00775896">
        <w:rPr>
          <w:rFonts w:eastAsia="Arial Unicode MS"/>
          <w:b/>
          <w:sz w:val="30"/>
          <w:szCs w:val="30"/>
          <w:u w:val="single"/>
        </w:rPr>
        <w:t>1</w:t>
      </w:r>
      <w:r>
        <w:rPr>
          <w:rFonts w:eastAsia="Arial Unicode MS"/>
          <w:b/>
          <w:sz w:val="30"/>
          <w:szCs w:val="30"/>
          <w:u w:val="single"/>
        </w:rPr>
        <w:t>4</w:t>
      </w:r>
    </w:p>
    <w:p w:rsidR="00DA1138" w:rsidRPr="00775896" w:rsidRDefault="00DA1138" w:rsidP="00DA1138">
      <w:pPr>
        <w:jc w:val="both"/>
        <w:rPr>
          <w:rFonts w:eastAsia="Arial Unicode MS"/>
          <w:b/>
          <w:sz w:val="30"/>
          <w:szCs w:val="30"/>
          <w:u w:val="single"/>
        </w:rPr>
      </w:pPr>
    </w:p>
    <w:p w:rsidR="00DA1138" w:rsidRPr="00775896" w:rsidRDefault="00DA1138" w:rsidP="00DA1138">
      <w:pPr>
        <w:jc w:val="both"/>
        <w:rPr>
          <w:rFonts w:eastAsia="Arial Unicode MS"/>
          <w:b/>
          <w:sz w:val="30"/>
          <w:szCs w:val="30"/>
        </w:rPr>
      </w:pPr>
    </w:p>
    <w:p w:rsidR="00DA1138" w:rsidRPr="00775896" w:rsidRDefault="00DA1138" w:rsidP="00DA1138">
      <w:pPr>
        <w:jc w:val="both"/>
        <w:rPr>
          <w:rFonts w:eastAsia="Arial Unicode MS"/>
          <w:b/>
          <w:sz w:val="30"/>
          <w:szCs w:val="30"/>
        </w:rPr>
      </w:pPr>
      <w:r w:rsidRPr="00775896">
        <w:rPr>
          <w:rFonts w:eastAsia="Arial Unicode MS"/>
          <w:b/>
          <w:sz w:val="30"/>
          <w:szCs w:val="30"/>
        </w:rPr>
        <w:t>In the matter between</w:t>
      </w:r>
    </w:p>
    <w:p w:rsidR="00DA1138" w:rsidRPr="00775896" w:rsidRDefault="00DA1138" w:rsidP="00DA1138">
      <w:pPr>
        <w:jc w:val="both"/>
        <w:rPr>
          <w:rFonts w:eastAsia="Arial Unicode MS"/>
          <w:b/>
          <w:sz w:val="30"/>
          <w:szCs w:val="30"/>
        </w:rPr>
      </w:pPr>
    </w:p>
    <w:p w:rsidR="00DA1138" w:rsidRPr="00775896" w:rsidRDefault="00DA1138" w:rsidP="00DA1138">
      <w:pPr>
        <w:jc w:val="both"/>
        <w:rPr>
          <w:rFonts w:eastAsia="Arial Unicode MS"/>
          <w:b/>
          <w:sz w:val="30"/>
          <w:szCs w:val="30"/>
        </w:rPr>
      </w:pPr>
    </w:p>
    <w:p w:rsidR="00DA1138" w:rsidRPr="00437011" w:rsidRDefault="00DA1138" w:rsidP="00DA1138">
      <w:pPr>
        <w:jc w:val="both"/>
        <w:rPr>
          <w:rFonts w:eastAsia="Arial Unicode MS"/>
          <w:b/>
          <w:sz w:val="30"/>
          <w:szCs w:val="30"/>
        </w:rPr>
      </w:pPr>
      <w:r>
        <w:rPr>
          <w:rFonts w:eastAsia="Arial Unicode MS"/>
          <w:b/>
          <w:sz w:val="30"/>
          <w:szCs w:val="30"/>
        </w:rPr>
        <w:t xml:space="preserve">FAKUDZE ATTORNEYS </w:t>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t xml:space="preserve">         </w:t>
      </w:r>
      <w:r w:rsidRPr="00437011">
        <w:rPr>
          <w:rFonts w:eastAsia="Arial Unicode MS"/>
          <w:b/>
          <w:sz w:val="30"/>
          <w:szCs w:val="30"/>
        </w:rPr>
        <w:t>Appellant</w:t>
      </w:r>
    </w:p>
    <w:p w:rsidR="00DA1138" w:rsidRDefault="00DA1138" w:rsidP="00DA1138">
      <w:pPr>
        <w:jc w:val="both"/>
        <w:rPr>
          <w:rFonts w:eastAsia="Arial Unicode MS"/>
          <w:b/>
          <w:sz w:val="30"/>
          <w:szCs w:val="30"/>
        </w:rPr>
      </w:pPr>
    </w:p>
    <w:p w:rsidR="00DA1138" w:rsidRDefault="00DA1138" w:rsidP="00DA1138">
      <w:pPr>
        <w:jc w:val="both"/>
        <w:rPr>
          <w:rFonts w:eastAsia="Arial Unicode MS"/>
          <w:b/>
          <w:sz w:val="30"/>
          <w:szCs w:val="30"/>
        </w:rPr>
      </w:pPr>
      <w:r>
        <w:rPr>
          <w:rFonts w:eastAsia="Arial Unicode MS"/>
          <w:b/>
          <w:sz w:val="30"/>
          <w:szCs w:val="30"/>
        </w:rPr>
        <w:t xml:space="preserve">And </w:t>
      </w:r>
    </w:p>
    <w:p w:rsidR="00DA1138" w:rsidRDefault="00DA1138" w:rsidP="00DA1138">
      <w:pPr>
        <w:jc w:val="both"/>
        <w:rPr>
          <w:rFonts w:eastAsia="Arial Unicode MS"/>
          <w:b/>
          <w:sz w:val="30"/>
          <w:szCs w:val="30"/>
        </w:rPr>
      </w:pPr>
    </w:p>
    <w:p w:rsidR="00DA1138" w:rsidRDefault="00DA1138" w:rsidP="00DA1138">
      <w:pPr>
        <w:jc w:val="both"/>
        <w:rPr>
          <w:rFonts w:eastAsia="Arial Unicode MS"/>
          <w:b/>
          <w:sz w:val="30"/>
          <w:szCs w:val="30"/>
        </w:rPr>
      </w:pPr>
      <w:r>
        <w:rPr>
          <w:rFonts w:eastAsia="Arial Unicode MS"/>
          <w:b/>
          <w:sz w:val="30"/>
          <w:szCs w:val="30"/>
        </w:rPr>
        <w:t xml:space="preserve">CHAINSAW AND FORESTRY SUPPLIES </w:t>
      </w:r>
    </w:p>
    <w:p w:rsidR="00DA1138" w:rsidRDefault="00DA1138" w:rsidP="00DA1138">
      <w:pPr>
        <w:jc w:val="both"/>
        <w:rPr>
          <w:rFonts w:eastAsia="Arial Unicode MS"/>
          <w:b/>
          <w:sz w:val="30"/>
          <w:szCs w:val="30"/>
        </w:rPr>
      </w:pPr>
      <w:r>
        <w:rPr>
          <w:rFonts w:eastAsia="Arial Unicode MS"/>
          <w:b/>
          <w:sz w:val="30"/>
          <w:szCs w:val="30"/>
        </w:rPr>
        <w:t xml:space="preserve">(PTY) LIMITED </w:t>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t>Respondent</w:t>
      </w:r>
    </w:p>
    <w:p w:rsidR="00DA1138" w:rsidRDefault="00DA1138" w:rsidP="00DA1138">
      <w:pPr>
        <w:jc w:val="both"/>
        <w:rPr>
          <w:rFonts w:eastAsia="Arial Unicode MS"/>
          <w:b/>
          <w:sz w:val="30"/>
          <w:szCs w:val="30"/>
        </w:rPr>
      </w:pPr>
    </w:p>
    <w:p w:rsidR="00DA1138" w:rsidRPr="00775896" w:rsidRDefault="00DA1138" w:rsidP="00DA1138">
      <w:pPr>
        <w:jc w:val="both"/>
        <w:rPr>
          <w:rFonts w:eastAsia="Arial Unicode MS"/>
          <w:b/>
          <w:sz w:val="30"/>
          <w:szCs w:val="30"/>
        </w:rPr>
      </w:pPr>
      <w:r w:rsidRPr="00775896">
        <w:rPr>
          <w:rFonts w:eastAsia="Arial Unicode MS"/>
          <w:b/>
          <w:sz w:val="30"/>
          <w:szCs w:val="30"/>
        </w:rPr>
        <w:br/>
      </w:r>
    </w:p>
    <w:p w:rsidR="00DA1138" w:rsidRPr="00775896" w:rsidRDefault="00DA1138" w:rsidP="00DA1138">
      <w:pPr>
        <w:ind w:left="2880" w:hanging="2880"/>
        <w:jc w:val="both"/>
        <w:rPr>
          <w:rFonts w:eastAsia="Arial Unicode MS"/>
          <w:sz w:val="30"/>
          <w:szCs w:val="30"/>
        </w:rPr>
      </w:pPr>
      <w:r w:rsidRPr="00775896">
        <w:rPr>
          <w:rFonts w:eastAsia="Arial Unicode MS"/>
          <w:b/>
          <w:sz w:val="30"/>
          <w:szCs w:val="30"/>
        </w:rPr>
        <w:t>Neutral citation:</w:t>
      </w:r>
      <w:r w:rsidRPr="00775896">
        <w:rPr>
          <w:rFonts w:eastAsia="Arial Unicode MS"/>
          <w:b/>
          <w:sz w:val="30"/>
          <w:szCs w:val="30"/>
        </w:rPr>
        <w:tab/>
      </w:r>
      <w:proofErr w:type="spellStart"/>
      <w:r w:rsidRPr="00DA1138">
        <w:rPr>
          <w:rFonts w:eastAsia="Arial Unicode MS"/>
          <w:i/>
          <w:sz w:val="30"/>
          <w:szCs w:val="30"/>
        </w:rPr>
        <w:t>Fakudze</w:t>
      </w:r>
      <w:proofErr w:type="spellEnd"/>
      <w:r w:rsidRPr="00DA1138">
        <w:rPr>
          <w:rFonts w:eastAsia="Arial Unicode MS"/>
          <w:i/>
          <w:sz w:val="30"/>
          <w:szCs w:val="30"/>
        </w:rPr>
        <w:t xml:space="preserve"> Attorneys</w:t>
      </w:r>
      <w:r>
        <w:rPr>
          <w:rFonts w:eastAsia="Arial Unicode MS"/>
          <w:i/>
          <w:sz w:val="30"/>
          <w:szCs w:val="30"/>
        </w:rPr>
        <w:t xml:space="preserve"> </w:t>
      </w:r>
      <w:r w:rsidRPr="008F3AA1">
        <w:rPr>
          <w:rFonts w:eastAsia="Arial Unicode MS"/>
          <w:i/>
          <w:sz w:val="30"/>
          <w:szCs w:val="30"/>
        </w:rPr>
        <w:t>v</w:t>
      </w:r>
      <w:r w:rsidRPr="00775896">
        <w:rPr>
          <w:rFonts w:eastAsia="Arial Unicode MS"/>
          <w:i/>
          <w:sz w:val="30"/>
          <w:szCs w:val="30"/>
        </w:rPr>
        <w:t xml:space="preserve"> </w:t>
      </w:r>
      <w:r>
        <w:rPr>
          <w:rFonts w:eastAsia="Arial Unicode MS"/>
          <w:i/>
          <w:sz w:val="30"/>
          <w:szCs w:val="30"/>
        </w:rPr>
        <w:t xml:space="preserve">Chainsaw and Forestry Supplies (Pty) Limited </w:t>
      </w:r>
      <w:r w:rsidRPr="00775896">
        <w:rPr>
          <w:rFonts w:eastAsia="Arial Unicode MS"/>
          <w:i/>
          <w:sz w:val="30"/>
          <w:szCs w:val="30"/>
        </w:rPr>
        <w:t>(</w:t>
      </w:r>
      <w:r>
        <w:rPr>
          <w:rFonts w:eastAsia="Arial Unicode MS"/>
          <w:i/>
          <w:sz w:val="30"/>
          <w:szCs w:val="30"/>
        </w:rPr>
        <w:t>47</w:t>
      </w:r>
      <w:r w:rsidRPr="00775896">
        <w:rPr>
          <w:rFonts w:eastAsia="Arial Unicode MS"/>
          <w:sz w:val="30"/>
          <w:szCs w:val="30"/>
        </w:rPr>
        <w:t>/</w:t>
      </w:r>
      <w:r w:rsidRPr="00775896">
        <w:rPr>
          <w:rFonts w:eastAsia="Arial Unicode MS"/>
          <w:i/>
          <w:sz w:val="30"/>
          <w:szCs w:val="30"/>
        </w:rPr>
        <w:t>201</w:t>
      </w:r>
      <w:r>
        <w:rPr>
          <w:rFonts w:eastAsia="Arial Unicode MS"/>
          <w:i/>
          <w:sz w:val="30"/>
          <w:szCs w:val="30"/>
        </w:rPr>
        <w:t>4</w:t>
      </w:r>
      <w:r w:rsidRPr="00775896">
        <w:rPr>
          <w:rFonts w:eastAsia="Arial Unicode MS"/>
          <w:i/>
          <w:sz w:val="30"/>
          <w:szCs w:val="30"/>
        </w:rPr>
        <w:t>)</w:t>
      </w:r>
      <w:r w:rsidRPr="00775896">
        <w:rPr>
          <w:rFonts w:eastAsia="Arial Unicode MS"/>
          <w:sz w:val="30"/>
          <w:szCs w:val="30"/>
        </w:rPr>
        <w:t xml:space="preserve"> [201</w:t>
      </w:r>
      <w:r>
        <w:rPr>
          <w:rFonts w:eastAsia="Arial Unicode MS"/>
          <w:sz w:val="30"/>
          <w:szCs w:val="30"/>
        </w:rPr>
        <w:t>4</w:t>
      </w:r>
      <w:r w:rsidRPr="00775896">
        <w:rPr>
          <w:rFonts w:eastAsia="Arial Unicode MS"/>
          <w:sz w:val="30"/>
          <w:szCs w:val="30"/>
        </w:rPr>
        <w:t xml:space="preserve">] SZSC </w:t>
      </w:r>
      <w:r>
        <w:rPr>
          <w:rFonts w:eastAsia="Arial Unicode MS"/>
          <w:sz w:val="30"/>
          <w:szCs w:val="30"/>
        </w:rPr>
        <w:t>75</w:t>
      </w:r>
      <w:r w:rsidRPr="00775896">
        <w:rPr>
          <w:rFonts w:eastAsia="Arial Unicode MS"/>
          <w:sz w:val="30"/>
          <w:szCs w:val="30"/>
        </w:rPr>
        <w:t xml:space="preserve"> (</w:t>
      </w:r>
      <w:r>
        <w:rPr>
          <w:rFonts w:eastAsia="Arial Unicode MS"/>
          <w:sz w:val="30"/>
          <w:szCs w:val="30"/>
        </w:rPr>
        <w:t>3</w:t>
      </w:r>
      <w:r w:rsidRPr="00775896">
        <w:rPr>
          <w:rFonts w:eastAsia="Arial Unicode MS"/>
          <w:sz w:val="30"/>
          <w:szCs w:val="30"/>
        </w:rPr>
        <w:t xml:space="preserve"> </w:t>
      </w:r>
      <w:r>
        <w:rPr>
          <w:rFonts w:eastAsia="Arial Unicode MS"/>
          <w:sz w:val="30"/>
          <w:szCs w:val="30"/>
        </w:rPr>
        <w:t xml:space="preserve">December </w:t>
      </w:r>
      <w:r w:rsidRPr="00775896">
        <w:rPr>
          <w:rFonts w:eastAsia="Arial Unicode MS"/>
          <w:sz w:val="30"/>
          <w:szCs w:val="30"/>
        </w:rPr>
        <w:t>201</w:t>
      </w:r>
      <w:r>
        <w:rPr>
          <w:rFonts w:eastAsia="Arial Unicode MS"/>
          <w:sz w:val="30"/>
          <w:szCs w:val="30"/>
        </w:rPr>
        <w:t>4</w:t>
      </w:r>
      <w:r w:rsidRPr="00775896">
        <w:rPr>
          <w:rFonts w:eastAsia="Arial Unicode MS"/>
          <w:sz w:val="30"/>
          <w:szCs w:val="30"/>
        </w:rPr>
        <w:t>)</w:t>
      </w:r>
    </w:p>
    <w:p w:rsidR="00DA1138" w:rsidRPr="00775896" w:rsidRDefault="00DA1138" w:rsidP="00DA1138">
      <w:pPr>
        <w:ind w:left="2880" w:hanging="2880"/>
        <w:jc w:val="both"/>
        <w:rPr>
          <w:rFonts w:eastAsia="Arial Unicode MS"/>
          <w:i/>
          <w:sz w:val="30"/>
          <w:szCs w:val="30"/>
        </w:rPr>
      </w:pPr>
    </w:p>
    <w:p w:rsidR="00DA1138" w:rsidRPr="002B737D" w:rsidRDefault="00DA1138" w:rsidP="00DA1138">
      <w:pPr>
        <w:ind w:left="2880" w:hanging="2880"/>
        <w:jc w:val="both"/>
        <w:rPr>
          <w:rFonts w:eastAsia="Arial Unicode MS"/>
          <w:sz w:val="30"/>
          <w:szCs w:val="30"/>
        </w:rPr>
      </w:pPr>
      <w:r w:rsidRPr="00775896">
        <w:rPr>
          <w:rFonts w:eastAsia="Arial Unicode MS"/>
          <w:b/>
          <w:sz w:val="30"/>
          <w:szCs w:val="30"/>
        </w:rPr>
        <w:t>Coram:</w:t>
      </w:r>
      <w:r w:rsidRPr="00775896">
        <w:rPr>
          <w:rFonts w:eastAsia="Arial Unicode MS"/>
          <w:b/>
          <w:sz w:val="30"/>
          <w:szCs w:val="30"/>
        </w:rPr>
        <w:tab/>
      </w:r>
      <w:r w:rsidRPr="00775896">
        <w:rPr>
          <w:rFonts w:eastAsia="Arial Unicode MS"/>
          <w:sz w:val="30"/>
          <w:szCs w:val="30"/>
        </w:rPr>
        <w:t xml:space="preserve">RAMODIBEDI CJ, </w:t>
      </w:r>
      <w:r>
        <w:rPr>
          <w:rFonts w:eastAsia="Arial Unicode MS"/>
          <w:sz w:val="30"/>
          <w:szCs w:val="30"/>
        </w:rPr>
        <w:t>MOORE JA and OTA JA</w:t>
      </w:r>
    </w:p>
    <w:p w:rsidR="00DA1138" w:rsidRDefault="00DA1138" w:rsidP="00DA1138">
      <w:pPr>
        <w:jc w:val="both"/>
        <w:rPr>
          <w:rFonts w:eastAsia="Arial Unicode MS"/>
          <w:b/>
          <w:sz w:val="30"/>
          <w:szCs w:val="30"/>
        </w:rPr>
      </w:pPr>
    </w:p>
    <w:p w:rsidR="00DA1138" w:rsidRPr="00775896" w:rsidRDefault="00DA1138" w:rsidP="00DA1138">
      <w:pPr>
        <w:jc w:val="both"/>
        <w:rPr>
          <w:rFonts w:eastAsia="Arial Unicode MS"/>
          <w:b/>
          <w:sz w:val="30"/>
          <w:szCs w:val="30"/>
        </w:rPr>
      </w:pPr>
      <w:r w:rsidRPr="00775896">
        <w:rPr>
          <w:rFonts w:eastAsia="Arial Unicode MS"/>
          <w:b/>
          <w:sz w:val="30"/>
          <w:szCs w:val="30"/>
        </w:rPr>
        <w:t>Heard:</w:t>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r>
      <w:r w:rsidRPr="00723739">
        <w:rPr>
          <w:rFonts w:eastAsia="Arial Unicode MS"/>
          <w:sz w:val="30"/>
          <w:szCs w:val="30"/>
        </w:rPr>
        <w:t>2</w:t>
      </w:r>
      <w:r>
        <w:rPr>
          <w:rFonts w:eastAsia="Arial Unicode MS"/>
          <w:sz w:val="30"/>
          <w:szCs w:val="30"/>
        </w:rPr>
        <w:t>1</w:t>
      </w:r>
      <w:r w:rsidRPr="00FE106B">
        <w:rPr>
          <w:rFonts w:eastAsia="Arial Unicode MS"/>
          <w:sz w:val="30"/>
          <w:szCs w:val="30"/>
        </w:rPr>
        <w:t xml:space="preserve"> NOVEMBER 201</w:t>
      </w:r>
      <w:r>
        <w:rPr>
          <w:rFonts w:eastAsia="Arial Unicode MS"/>
          <w:sz w:val="30"/>
          <w:szCs w:val="30"/>
        </w:rPr>
        <w:t>4</w:t>
      </w:r>
      <w:r w:rsidRPr="00775896">
        <w:rPr>
          <w:rFonts w:eastAsia="Arial Unicode MS"/>
          <w:b/>
          <w:sz w:val="30"/>
          <w:szCs w:val="30"/>
        </w:rPr>
        <w:tab/>
      </w:r>
      <w:r w:rsidRPr="00775896">
        <w:rPr>
          <w:rFonts w:eastAsia="Arial Unicode MS"/>
          <w:b/>
          <w:sz w:val="30"/>
          <w:szCs w:val="30"/>
        </w:rPr>
        <w:tab/>
      </w:r>
    </w:p>
    <w:p w:rsidR="00DA1138" w:rsidRPr="00775896" w:rsidRDefault="00DA1138" w:rsidP="00DA1138">
      <w:pPr>
        <w:ind w:left="2880" w:hanging="2880"/>
        <w:jc w:val="both"/>
        <w:rPr>
          <w:rFonts w:eastAsia="Arial Unicode MS"/>
          <w:b/>
          <w:sz w:val="30"/>
          <w:szCs w:val="30"/>
        </w:rPr>
      </w:pPr>
    </w:p>
    <w:p w:rsidR="00DA1138" w:rsidRPr="00FE106B" w:rsidRDefault="00DA1138" w:rsidP="00DA1138">
      <w:pPr>
        <w:ind w:left="2880" w:hanging="2880"/>
        <w:jc w:val="both"/>
        <w:rPr>
          <w:rFonts w:eastAsia="Arial Unicode MS"/>
          <w:sz w:val="30"/>
          <w:szCs w:val="30"/>
        </w:rPr>
      </w:pPr>
      <w:r w:rsidRPr="00775896">
        <w:rPr>
          <w:rFonts w:eastAsia="Arial Unicode MS"/>
          <w:b/>
          <w:sz w:val="30"/>
          <w:szCs w:val="30"/>
        </w:rPr>
        <w:t>Delivered:</w:t>
      </w:r>
      <w:r w:rsidRPr="00775896">
        <w:rPr>
          <w:rFonts w:eastAsia="Arial Unicode MS"/>
          <w:b/>
          <w:sz w:val="30"/>
          <w:szCs w:val="30"/>
        </w:rPr>
        <w:tab/>
      </w:r>
      <w:proofErr w:type="gramStart"/>
      <w:r w:rsidRPr="0064625B">
        <w:rPr>
          <w:rFonts w:eastAsia="Arial Unicode MS"/>
          <w:sz w:val="30"/>
          <w:szCs w:val="30"/>
        </w:rPr>
        <w:t>3</w:t>
      </w:r>
      <w:r>
        <w:rPr>
          <w:rFonts w:eastAsia="Arial Unicode MS"/>
          <w:sz w:val="30"/>
          <w:szCs w:val="30"/>
        </w:rPr>
        <w:t xml:space="preserve"> </w:t>
      </w:r>
      <w:r w:rsidRPr="0064625B">
        <w:rPr>
          <w:rFonts w:eastAsia="Arial Unicode MS"/>
          <w:sz w:val="30"/>
          <w:szCs w:val="30"/>
        </w:rPr>
        <w:t xml:space="preserve"> </w:t>
      </w:r>
      <w:r>
        <w:rPr>
          <w:rFonts w:eastAsia="Arial Unicode MS"/>
          <w:sz w:val="30"/>
          <w:szCs w:val="30"/>
        </w:rPr>
        <w:t>DECEMBER</w:t>
      </w:r>
      <w:proofErr w:type="gramEnd"/>
      <w:r>
        <w:rPr>
          <w:rFonts w:eastAsia="Arial Unicode MS"/>
          <w:sz w:val="30"/>
          <w:szCs w:val="30"/>
        </w:rPr>
        <w:t xml:space="preserve"> </w:t>
      </w:r>
      <w:r w:rsidRPr="00FE106B">
        <w:rPr>
          <w:rFonts w:eastAsia="Arial Unicode MS"/>
          <w:sz w:val="30"/>
          <w:szCs w:val="30"/>
        </w:rPr>
        <w:t>201</w:t>
      </w:r>
      <w:r>
        <w:rPr>
          <w:rFonts w:eastAsia="Arial Unicode MS"/>
          <w:sz w:val="30"/>
          <w:szCs w:val="30"/>
        </w:rPr>
        <w:t>4</w:t>
      </w:r>
    </w:p>
    <w:p w:rsidR="00DA1138" w:rsidRPr="00775896" w:rsidRDefault="00DA1138" w:rsidP="00DA1138">
      <w:pPr>
        <w:ind w:left="2880" w:hanging="2880"/>
        <w:jc w:val="both"/>
        <w:rPr>
          <w:rFonts w:eastAsia="Arial Unicode MS"/>
          <w:b/>
          <w:sz w:val="30"/>
          <w:szCs w:val="30"/>
        </w:rPr>
      </w:pPr>
    </w:p>
    <w:p w:rsidR="00DA1138" w:rsidRDefault="00DA1138" w:rsidP="00DA1138">
      <w:pPr>
        <w:ind w:left="2880" w:hanging="2880"/>
        <w:jc w:val="both"/>
        <w:rPr>
          <w:rFonts w:eastAsia="Arial Unicode MS"/>
          <w:b/>
          <w:sz w:val="30"/>
          <w:szCs w:val="30"/>
        </w:rPr>
      </w:pPr>
      <w:r w:rsidRPr="00775896">
        <w:rPr>
          <w:rFonts w:eastAsia="Arial Unicode MS"/>
          <w:b/>
          <w:sz w:val="30"/>
          <w:szCs w:val="30"/>
        </w:rPr>
        <w:lastRenderedPageBreak/>
        <w:t>Summary:</w:t>
      </w:r>
      <w:r w:rsidRPr="00775896">
        <w:rPr>
          <w:rFonts w:eastAsia="Arial Unicode MS"/>
          <w:b/>
          <w:sz w:val="30"/>
          <w:szCs w:val="30"/>
        </w:rPr>
        <w:tab/>
        <w:t>C</w:t>
      </w:r>
      <w:r>
        <w:rPr>
          <w:rFonts w:eastAsia="Arial Unicode MS"/>
          <w:b/>
          <w:sz w:val="30"/>
          <w:szCs w:val="30"/>
        </w:rPr>
        <w:t xml:space="preserve">ivil procedure – Flagrant disregard of the </w:t>
      </w:r>
      <w:r w:rsidR="00784C36">
        <w:rPr>
          <w:rFonts w:eastAsia="Arial Unicode MS"/>
          <w:b/>
          <w:sz w:val="30"/>
          <w:szCs w:val="30"/>
        </w:rPr>
        <w:t>R</w:t>
      </w:r>
      <w:r>
        <w:rPr>
          <w:rFonts w:eastAsia="Arial Unicode MS"/>
          <w:b/>
          <w:sz w:val="30"/>
          <w:szCs w:val="30"/>
        </w:rPr>
        <w:t>ules of Court in several respects – Abuse of Court process – Appe</w:t>
      </w:r>
      <w:r w:rsidR="00784C36">
        <w:rPr>
          <w:rFonts w:eastAsia="Arial Unicode MS"/>
          <w:b/>
          <w:sz w:val="30"/>
          <w:szCs w:val="30"/>
        </w:rPr>
        <w:t>ll</w:t>
      </w:r>
      <w:r>
        <w:rPr>
          <w:rFonts w:eastAsia="Arial Unicode MS"/>
          <w:b/>
          <w:sz w:val="30"/>
          <w:szCs w:val="30"/>
        </w:rPr>
        <w:t>a</w:t>
      </w:r>
      <w:r w:rsidR="00784C36">
        <w:rPr>
          <w:rFonts w:eastAsia="Arial Unicode MS"/>
          <w:b/>
          <w:sz w:val="30"/>
          <w:szCs w:val="30"/>
        </w:rPr>
        <w:t>nt filing a “Notice of Abandonment of Appeal” with a tender as to costs – Appeal dismissed as being irregula</w:t>
      </w:r>
      <w:r>
        <w:rPr>
          <w:rFonts w:eastAsia="Arial Unicode MS"/>
          <w:b/>
          <w:sz w:val="30"/>
          <w:szCs w:val="30"/>
        </w:rPr>
        <w:t>r</w:t>
      </w:r>
      <w:r w:rsidR="00784C36">
        <w:rPr>
          <w:rFonts w:eastAsia="Arial Unicode MS"/>
          <w:b/>
          <w:sz w:val="30"/>
          <w:szCs w:val="30"/>
        </w:rPr>
        <w:t xml:space="preserve"> – The appellant ordered to pay costs </w:t>
      </w:r>
      <w:r>
        <w:rPr>
          <w:rFonts w:eastAsia="Arial Unicode MS"/>
          <w:b/>
          <w:sz w:val="30"/>
          <w:szCs w:val="30"/>
        </w:rPr>
        <w:t xml:space="preserve">on the punitive </w:t>
      </w:r>
      <w:r w:rsidR="00173980">
        <w:rPr>
          <w:rFonts w:eastAsia="Arial Unicode MS"/>
          <w:b/>
          <w:sz w:val="30"/>
          <w:szCs w:val="30"/>
        </w:rPr>
        <w:t xml:space="preserve">scale as between attorney and own </w:t>
      </w:r>
      <w:r w:rsidR="00784C36">
        <w:rPr>
          <w:rFonts w:eastAsia="Arial Unicode MS"/>
          <w:b/>
          <w:sz w:val="30"/>
          <w:szCs w:val="30"/>
        </w:rPr>
        <w:t xml:space="preserve">client – Such costs to be paid by Attorney Thabo </w:t>
      </w:r>
      <w:proofErr w:type="spellStart"/>
      <w:r w:rsidR="00784C36">
        <w:rPr>
          <w:rFonts w:eastAsia="Arial Unicode MS"/>
          <w:b/>
          <w:sz w:val="30"/>
          <w:szCs w:val="30"/>
        </w:rPr>
        <w:t>Fakudze</w:t>
      </w:r>
      <w:proofErr w:type="spellEnd"/>
      <w:r w:rsidR="00784C36">
        <w:rPr>
          <w:rFonts w:eastAsia="Arial Unicode MS"/>
          <w:b/>
          <w:sz w:val="30"/>
          <w:szCs w:val="30"/>
        </w:rPr>
        <w:t xml:space="preserve"> </w:t>
      </w:r>
      <w:r>
        <w:rPr>
          <w:rFonts w:eastAsia="Arial Unicode MS"/>
          <w:b/>
          <w:i/>
          <w:sz w:val="30"/>
          <w:szCs w:val="30"/>
        </w:rPr>
        <w:t xml:space="preserve">de </w:t>
      </w:r>
      <w:proofErr w:type="spellStart"/>
      <w:r>
        <w:rPr>
          <w:rFonts w:eastAsia="Arial Unicode MS"/>
          <w:b/>
          <w:i/>
          <w:sz w:val="30"/>
          <w:szCs w:val="30"/>
        </w:rPr>
        <w:t>bonis</w:t>
      </w:r>
      <w:proofErr w:type="spellEnd"/>
      <w:r>
        <w:rPr>
          <w:rFonts w:eastAsia="Arial Unicode MS"/>
          <w:b/>
          <w:i/>
          <w:sz w:val="30"/>
          <w:szCs w:val="30"/>
        </w:rPr>
        <w:t xml:space="preserve"> </w:t>
      </w:r>
      <w:proofErr w:type="spellStart"/>
      <w:r>
        <w:rPr>
          <w:rFonts w:eastAsia="Arial Unicode MS"/>
          <w:b/>
          <w:i/>
          <w:sz w:val="30"/>
          <w:szCs w:val="30"/>
        </w:rPr>
        <w:t>propriis</w:t>
      </w:r>
      <w:proofErr w:type="spellEnd"/>
      <w:r w:rsidR="00784C36">
        <w:rPr>
          <w:rFonts w:eastAsia="Arial Unicode MS"/>
          <w:b/>
          <w:i/>
          <w:sz w:val="30"/>
          <w:szCs w:val="30"/>
        </w:rPr>
        <w:t>.</w:t>
      </w:r>
      <w:r>
        <w:rPr>
          <w:rFonts w:eastAsia="Arial Unicode MS"/>
          <w:b/>
          <w:sz w:val="30"/>
          <w:szCs w:val="30"/>
        </w:rPr>
        <w:t xml:space="preserve"> </w:t>
      </w:r>
    </w:p>
    <w:p w:rsidR="00DA1138" w:rsidRDefault="00DA1138" w:rsidP="00DA1138">
      <w:pPr>
        <w:jc w:val="both"/>
        <w:rPr>
          <w:rFonts w:eastAsia="Arial Unicode MS"/>
          <w:b/>
          <w:sz w:val="30"/>
          <w:szCs w:val="30"/>
        </w:rPr>
      </w:pPr>
    </w:p>
    <w:p w:rsidR="00DA1138" w:rsidRDefault="00DA1138" w:rsidP="00DA1138">
      <w:pPr>
        <w:ind w:left="2880" w:hanging="2880"/>
        <w:jc w:val="center"/>
        <w:rPr>
          <w:rFonts w:eastAsia="Arial Unicode MS"/>
          <w:b/>
          <w:sz w:val="30"/>
          <w:szCs w:val="30"/>
          <w:u w:val="single"/>
        </w:rPr>
      </w:pPr>
    </w:p>
    <w:p w:rsidR="00DA1138" w:rsidRPr="00775896" w:rsidRDefault="00DA1138" w:rsidP="00DA1138">
      <w:pPr>
        <w:ind w:left="2880" w:hanging="2880"/>
        <w:jc w:val="center"/>
        <w:rPr>
          <w:rFonts w:eastAsia="Arial Unicode MS"/>
          <w:b/>
          <w:sz w:val="30"/>
          <w:szCs w:val="30"/>
          <w:u w:val="single"/>
        </w:rPr>
      </w:pPr>
      <w:r w:rsidRPr="00775896">
        <w:rPr>
          <w:rFonts w:eastAsia="Arial Unicode MS"/>
          <w:b/>
          <w:sz w:val="30"/>
          <w:szCs w:val="30"/>
          <w:u w:val="single"/>
        </w:rPr>
        <w:t>JUDGMENT</w:t>
      </w:r>
    </w:p>
    <w:p w:rsidR="00DA1138" w:rsidRPr="00775896" w:rsidRDefault="00DA1138" w:rsidP="00DA1138">
      <w:pPr>
        <w:ind w:left="2880" w:hanging="2880"/>
        <w:jc w:val="both"/>
        <w:rPr>
          <w:rFonts w:eastAsia="Arial Unicode MS"/>
          <w:b/>
          <w:sz w:val="30"/>
          <w:szCs w:val="30"/>
        </w:rPr>
      </w:pPr>
    </w:p>
    <w:p w:rsidR="00DA1138" w:rsidRPr="00775896" w:rsidRDefault="00DA1138" w:rsidP="00DA1138">
      <w:pPr>
        <w:ind w:left="2880" w:hanging="2880"/>
        <w:jc w:val="both"/>
        <w:rPr>
          <w:rFonts w:eastAsia="Arial Unicode MS"/>
          <w:b/>
          <w:sz w:val="30"/>
          <w:szCs w:val="30"/>
        </w:rPr>
      </w:pPr>
    </w:p>
    <w:p w:rsidR="00DA1138" w:rsidRPr="00775896" w:rsidRDefault="00DA1138" w:rsidP="00DA1138">
      <w:pPr>
        <w:ind w:left="2880" w:hanging="2880"/>
        <w:jc w:val="both"/>
        <w:rPr>
          <w:rFonts w:eastAsia="Arial Unicode MS"/>
          <w:b/>
          <w:sz w:val="30"/>
          <w:szCs w:val="30"/>
        </w:rPr>
      </w:pPr>
      <w:r w:rsidRPr="00775896">
        <w:rPr>
          <w:rFonts w:eastAsia="Arial Unicode MS"/>
          <w:b/>
          <w:sz w:val="30"/>
          <w:szCs w:val="30"/>
        </w:rPr>
        <w:t>RAMODIBEDI CJ</w:t>
      </w:r>
    </w:p>
    <w:p w:rsidR="00DA1138" w:rsidRPr="00775896" w:rsidRDefault="00DA1138" w:rsidP="00DA1138">
      <w:pPr>
        <w:ind w:left="2880" w:hanging="2880"/>
        <w:jc w:val="both"/>
        <w:rPr>
          <w:rFonts w:eastAsia="Arial Unicode MS"/>
          <w:sz w:val="30"/>
          <w:szCs w:val="30"/>
        </w:rPr>
      </w:pPr>
    </w:p>
    <w:p w:rsidR="00DA1138" w:rsidRPr="00775896" w:rsidRDefault="00DA1138" w:rsidP="00DA1138">
      <w:pPr>
        <w:ind w:left="2880" w:hanging="2880"/>
        <w:jc w:val="both"/>
        <w:rPr>
          <w:rFonts w:eastAsia="Arial Unicode MS"/>
          <w:sz w:val="30"/>
          <w:szCs w:val="30"/>
        </w:rPr>
      </w:pPr>
    </w:p>
    <w:p w:rsidR="00DA1138" w:rsidRDefault="00DA1138" w:rsidP="00DA1138">
      <w:pPr>
        <w:spacing w:line="480" w:lineRule="auto"/>
        <w:ind w:left="720" w:hanging="720"/>
        <w:jc w:val="both"/>
        <w:rPr>
          <w:rFonts w:eastAsia="Arial Unicode MS"/>
          <w:sz w:val="30"/>
          <w:szCs w:val="30"/>
        </w:rPr>
      </w:pPr>
      <w:r w:rsidRPr="00775896">
        <w:rPr>
          <w:rFonts w:eastAsia="Arial Unicode MS"/>
          <w:sz w:val="30"/>
          <w:szCs w:val="30"/>
        </w:rPr>
        <w:t>[1]</w:t>
      </w:r>
      <w:r w:rsidRPr="00775896">
        <w:rPr>
          <w:rFonts w:eastAsia="Arial Unicode MS"/>
          <w:sz w:val="30"/>
          <w:szCs w:val="30"/>
        </w:rPr>
        <w:tab/>
      </w:r>
      <w:r>
        <w:rPr>
          <w:rFonts w:eastAsia="Arial Unicode MS"/>
          <w:sz w:val="30"/>
          <w:szCs w:val="30"/>
        </w:rPr>
        <w:t>On 30 June 2014, the plaintiff, now respondent, issued out a simple summons against the appellant, as defendant, for the following relief:-</w:t>
      </w:r>
    </w:p>
    <w:p w:rsidR="00DA1138" w:rsidRDefault="00DA1138" w:rsidP="00DA1138">
      <w:pPr>
        <w:spacing w:line="480" w:lineRule="auto"/>
        <w:ind w:left="720" w:hanging="720"/>
        <w:jc w:val="both"/>
        <w:rPr>
          <w:rFonts w:eastAsia="Arial Unicode MS"/>
          <w:sz w:val="30"/>
          <w:szCs w:val="30"/>
        </w:rPr>
      </w:pPr>
    </w:p>
    <w:p w:rsidR="00A54747" w:rsidRDefault="00DA1138" w:rsidP="00A54747">
      <w:pPr>
        <w:pStyle w:val="ListParagraph"/>
        <w:numPr>
          <w:ilvl w:val="0"/>
          <w:numId w:val="3"/>
        </w:numPr>
        <w:spacing w:line="360" w:lineRule="auto"/>
        <w:jc w:val="both"/>
        <w:rPr>
          <w:rFonts w:eastAsia="Arial Unicode MS"/>
          <w:i/>
          <w:sz w:val="30"/>
          <w:szCs w:val="30"/>
        </w:rPr>
      </w:pPr>
      <w:r w:rsidRPr="00A54747">
        <w:rPr>
          <w:rFonts w:eastAsia="Arial Unicode MS"/>
          <w:i/>
          <w:sz w:val="30"/>
          <w:szCs w:val="30"/>
        </w:rPr>
        <w:t>“</w:t>
      </w:r>
      <w:r w:rsidR="00A54747" w:rsidRPr="00A54747">
        <w:rPr>
          <w:rFonts w:eastAsia="Arial Unicode MS"/>
          <w:i/>
          <w:sz w:val="30"/>
          <w:szCs w:val="30"/>
        </w:rPr>
        <w:t>P</w:t>
      </w:r>
      <w:r w:rsidR="00F41919" w:rsidRPr="00A54747">
        <w:rPr>
          <w:rFonts w:eastAsia="Arial Unicode MS"/>
          <w:i/>
          <w:sz w:val="30"/>
          <w:szCs w:val="30"/>
        </w:rPr>
        <w:t xml:space="preserve">ayment of the sum of </w:t>
      </w:r>
      <w:r w:rsidR="00F41919" w:rsidRPr="00311FCD">
        <w:rPr>
          <w:rFonts w:eastAsia="Arial Unicode MS"/>
          <w:i/>
          <w:sz w:val="30"/>
          <w:szCs w:val="30"/>
        </w:rPr>
        <w:t>E 40,000.00</w:t>
      </w:r>
      <w:r w:rsidR="00F41919" w:rsidRPr="00A54747">
        <w:rPr>
          <w:rFonts w:eastAsia="Arial Unicode MS"/>
          <w:i/>
          <w:sz w:val="30"/>
          <w:szCs w:val="30"/>
        </w:rPr>
        <w:t xml:space="preserve"> being in respect of monies collected by the Defendant in its capacity as Legal Representative of the Plaintiff, from </w:t>
      </w:r>
      <w:proofErr w:type="spellStart"/>
      <w:r w:rsidR="00F41919" w:rsidRPr="00A54747">
        <w:rPr>
          <w:rFonts w:eastAsia="Arial Unicode MS"/>
          <w:i/>
          <w:sz w:val="30"/>
          <w:szCs w:val="30"/>
        </w:rPr>
        <w:t>Afrotim</w:t>
      </w:r>
      <w:proofErr w:type="spellEnd"/>
      <w:r w:rsidR="00F41919" w:rsidRPr="00A54747">
        <w:rPr>
          <w:rFonts w:eastAsia="Arial Unicode MS"/>
          <w:i/>
          <w:sz w:val="30"/>
          <w:szCs w:val="30"/>
        </w:rPr>
        <w:t xml:space="preserve"> Construction (Pty) Limited under case number 247/2014, which funds were collected by the Defendant but the </w:t>
      </w:r>
      <w:r w:rsidR="00A54747" w:rsidRPr="00A54747">
        <w:rPr>
          <w:rFonts w:eastAsia="Arial Unicode MS"/>
          <w:i/>
          <w:sz w:val="30"/>
          <w:szCs w:val="30"/>
        </w:rPr>
        <w:t>Defendant failed to account for the said funds to the Plaint</w:t>
      </w:r>
      <w:r w:rsidR="00F41919" w:rsidRPr="00A54747">
        <w:rPr>
          <w:rFonts w:eastAsia="Arial Unicode MS"/>
          <w:i/>
          <w:sz w:val="30"/>
          <w:szCs w:val="30"/>
        </w:rPr>
        <w:t>i</w:t>
      </w:r>
      <w:r w:rsidR="00A54747" w:rsidRPr="00A54747">
        <w:rPr>
          <w:rFonts w:eastAsia="Arial Unicode MS"/>
          <w:i/>
          <w:sz w:val="30"/>
          <w:szCs w:val="30"/>
        </w:rPr>
        <w:t xml:space="preserve">ff which amount is now due, owing and payable but despite demand </w:t>
      </w:r>
      <w:proofErr w:type="spellStart"/>
      <w:r w:rsidR="00A54747" w:rsidRPr="00A54747">
        <w:rPr>
          <w:rFonts w:eastAsia="Arial Unicode MS"/>
          <w:i/>
          <w:sz w:val="30"/>
          <w:szCs w:val="30"/>
        </w:rPr>
        <w:t>therefor</w:t>
      </w:r>
      <w:proofErr w:type="spellEnd"/>
      <w:r w:rsidR="00A54747" w:rsidRPr="00A54747">
        <w:rPr>
          <w:rFonts w:eastAsia="Arial Unicode MS"/>
          <w:i/>
          <w:sz w:val="30"/>
          <w:szCs w:val="30"/>
        </w:rPr>
        <w:t>, the Defendant fails, neglects and/or refuses to pay to the Plaintiff;</w:t>
      </w:r>
    </w:p>
    <w:p w:rsidR="00A54747" w:rsidRDefault="00A54747" w:rsidP="00A54747">
      <w:pPr>
        <w:pStyle w:val="ListParagraph"/>
        <w:spacing w:line="360" w:lineRule="auto"/>
        <w:ind w:left="1080"/>
        <w:jc w:val="both"/>
        <w:rPr>
          <w:rFonts w:eastAsia="Arial Unicode MS"/>
          <w:i/>
          <w:sz w:val="30"/>
          <w:szCs w:val="30"/>
        </w:rPr>
      </w:pPr>
    </w:p>
    <w:p w:rsidR="00A54747" w:rsidRDefault="00A54747" w:rsidP="00A54747">
      <w:pPr>
        <w:pStyle w:val="ListParagraph"/>
        <w:numPr>
          <w:ilvl w:val="0"/>
          <w:numId w:val="3"/>
        </w:numPr>
        <w:spacing w:line="360" w:lineRule="auto"/>
        <w:jc w:val="both"/>
        <w:rPr>
          <w:rFonts w:eastAsia="Arial Unicode MS"/>
          <w:i/>
          <w:sz w:val="30"/>
          <w:szCs w:val="30"/>
        </w:rPr>
      </w:pPr>
      <w:r>
        <w:rPr>
          <w:rFonts w:eastAsia="Arial Unicode MS"/>
          <w:i/>
          <w:sz w:val="30"/>
          <w:szCs w:val="30"/>
        </w:rPr>
        <w:lastRenderedPageBreak/>
        <w:t xml:space="preserve"> Interest on the said sum of E 40,000.00 at the rate of 9% per annum compounded, a tempore </w:t>
      </w:r>
      <w:proofErr w:type="spellStart"/>
      <w:r>
        <w:rPr>
          <w:rFonts w:eastAsia="Arial Unicode MS"/>
          <w:i/>
          <w:sz w:val="30"/>
          <w:szCs w:val="30"/>
        </w:rPr>
        <w:t>morae</w:t>
      </w:r>
      <w:proofErr w:type="spellEnd"/>
      <w:r>
        <w:rPr>
          <w:rFonts w:eastAsia="Arial Unicode MS"/>
          <w:i/>
          <w:sz w:val="30"/>
          <w:szCs w:val="30"/>
        </w:rPr>
        <w:t xml:space="preserve"> to date of final payment;</w:t>
      </w:r>
    </w:p>
    <w:p w:rsidR="00A54747" w:rsidRPr="00A54747" w:rsidRDefault="00A54747" w:rsidP="00A54747">
      <w:pPr>
        <w:pStyle w:val="ListParagraph"/>
        <w:rPr>
          <w:rFonts w:eastAsia="Arial Unicode MS"/>
          <w:i/>
          <w:sz w:val="30"/>
          <w:szCs w:val="30"/>
        </w:rPr>
      </w:pPr>
    </w:p>
    <w:p w:rsidR="00A54747" w:rsidRDefault="00A54747" w:rsidP="00A54747">
      <w:pPr>
        <w:pStyle w:val="ListParagraph"/>
        <w:numPr>
          <w:ilvl w:val="0"/>
          <w:numId w:val="3"/>
        </w:numPr>
        <w:spacing w:line="360" w:lineRule="auto"/>
        <w:jc w:val="both"/>
        <w:rPr>
          <w:rFonts w:eastAsia="Arial Unicode MS"/>
          <w:i/>
          <w:sz w:val="30"/>
          <w:szCs w:val="30"/>
        </w:rPr>
      </w:pPr>
      <w:r>
        <w:rPr>
          <w:rFonts w:eastAsia="Arial Unicode MS"/>
          <w:i/>
          <w:sz w:val="30"/>
          <w:szCs w:val="30"/>
        </w:rPr>
        <w:t>Costs of the suit;</w:t>
      </w:r>
    </w:p>
    <w:p w:rsidR="00A54747" w:rsidRPr="00A54747" w:rsidRDefault="00A54747" w:rsidP="00A54747">
      <w:pPr>
        <w:pStyle w:val="ListParagraph"/>
        <w:rPr>
          <w:rFonts w:eastAsia="Arial Unicode MS"/>
          <w:i/>
          <w:sz w:val="30"/>
          <w:szCs w:val="30"/>
        </w:rPr>
      </w:pPr>
    </w:p>
    <w:p w:rsidR="00A54747" w:rsidRDefault="00A54747" w:rsidP="00A54747">
      <w:pPr>
        <w:pStyle w:val="ListParagraph"/>
        <w:numPr>
          <w:ilvl w:val="0"/>
          <w:numId w:val="3"/>
        </w:numPr>
        <w:spacing w:line="360" w:lineRule="auto"/>
        <w:jc w:val="both"/>
        <w:rPr>
          <w:rFonts w:eastAsia="Arial Unicode MS"/>
          <w:i/>
          <w:sz w:val="30"/>
          <w:szCs w:val="30"/>
        </w:rPr>
      </w:pPr>
      <w:r>
        <w:rPr>
          <w:rFonts w:eastAsia="Arial Unicode MS"/>
          <w:i/>
          <w:sz w:val="30"/>
          <w:szCs w:val="30"/>
        </w:rPr>
        <w:t>Further and/or alternative relief.”</w:t>
      </w:r>
    </w:p>
    <w:p w:rsidR="00A54747" w:rsidRPr="00A54747" w:rsidRDefault="00A54747" w:rsidP="00A54747">
      <w:pPr>
        <w:spacing w:line="360" w:lineRule="auto"/>
        <w:jc w:val="both"/>
        <w:rPr>
          <w:rFonts w:eastAsia="Arial Unicode MS"/>
          <w:i/>
          <w:sz w:val="30"/>
          <w:szCs w:val="30"/>
        </w:rPr>
      </w:pPr>
    </w:p>
    <w:p w:rsidR="00A54747" w:rsidRDefault="00A54747" w:rsidP="00DA1138">
      <w:pPr>
        <w:spacing w:line="480" w:lineRule="auto"/>
        <w:ind w:left="720" w:hanging="720"/>
        <w:jc w:val="both"/>
        <w:rPr>
          <w:rFonts w:eastAsia="Arial Unicode MS"/>
          <w:sz w:val="30"/>
          <w:szCs w:val="30"/>
        </w:rPr>
      </w:pPr>
      <w:r>
        <w:rPr>
          <w:rFonts w:eastAsia="Arial Unicode MS"/>
          <w:sz w:val="30"/>
          <w:szCs w:val="30"/>
        </w:rPr>
        <w:t xml:space="preserve"> </w:t>
      </w:r>
      <w:r w:rsidR="00DA1138">
        <w:rPr>
          <w:rFonts w:eastAsia="Arial Unicode MS"/>
          <w:sz w:val="30"/>
          <w:szCs w:val="30"/>
        </w:rPr>
        <w:t>[2]</w:t>
      </w:r>
      <w:r w:rsidR="00DA1138">
        <w:rPr>
          <w:rFonts w:eastAsia="Arial Unicode MS"/>
          <w:sz w:val="30"/>
          <w:szCs w:val="30"/>
        </w:rPr>
        <w:tab/>
      </w:r>
      <w:r>
        <w:rPr>
          <w:rFonts w:eastAsia="Arial Unicode MS"/>
          <w:sz w:val="30"/>
          <w:szCs w:val="30"/>
        </w:rPr>
        <w:t xml:space="preserve">The return of service filed of record shows that the defendant was duly served with the summons on 4 July 2014 at 12:36 hrs.  </w:t>
      </w:r>
    </w:p>
    <w:p w:rsidR="00A54747" w:rsidRDefault="00A54747" w:rsidP="00DA1138">
      <w:pPr>
        <w:spacing w:line="480" w:lineRule="auto"/>
        <w:ind w:left="720" w:hanging="720"/>
        <w:jc w:val="both"/>
        <w:rPr>
          <w:rFonts w:eastAsia="Arial Unicode MS"/>
          <w:sz w:val="30"/>
          <w:szCs w:val="30"/>
        </w:rPr>
      </w:pPr>
    </w:p>
    <w:p w:rsidR="00A54747" w:rsidRDefault="00A54747" w:rsidP="00DA1138">
      <w:pPr>
        <w:spacing w:line="480" w:lineRule="auto"/>
        <w:ind w:left="720" w:hanging="720"/>
        <w:jc w:val="both"/>
        <w:rPr>
          <w:rFonts w:eastAsia="Arial Unicode MS"/>
          <w:sz w:val="30"/>
          <w:szCs w:val="30"/>
        </w:rPr>
      </w:pPr>
      <w:r>
        <w:rPr>
          <w:rFonts w:eastAsia="Arial Unicode MS"/>
          <w:sz w:val="30"/>
          <w:szCs w:val="30"/>
        </w:rPr>
        <w:t>[3]</w:t>
      </w:r>
      <w:r>
        <w:rPr>
          <w:rFonts w:eastAsia="Arial Unicode MS"/>
          <w:sz w:val="30"/>
          <w:szCs w:val="30"/>
        </w:rPr>
        <w:tab/>
        <w:t xml:space="preserve">In terms of Rule 19 (1) of the High court Rules, the defendant is allowed at least ten (10) days after service of summons within which to deliver a notice of intention to defend, either personally or through his/her attorney.  The defendant failed to avail itself of this procedure.  Accordingly, it has got only itself to blame for the outcome of this matter as proposed below.  </w:t>
      </w:r>
    </w:p>
    <w:p w:rsidR="00A54747" w:rsidRDefault="00A54747" w:rsidP="00DA1138">
      <w:pPr>
        <w:spacing w:line="480" w:lineRule="auto"/>
        <w:ind w:left="720" w:hanging="720"/>
        <w:jc w:val="both"/>
        <w:rPr>
          <w:rFonts w:eastAsia="Arial Unicode MS"/>
          <w:sz w:val="30"/>
          <w:szCs w:val="30"/>
        </w:rPr>
      </w:pPr>
    </w:p>
    <w:p w:rsidR="00A54747" w:rsidRDefault="00A54747" w:rsidP="00DA1138">
      <w:pPr>
        <w:spacing w:line="480" w:lineRule="auto"/>
        <w:ind w:left="720" w:hanging="720"/>
        <w:jc w:val="both"/>
        <w:rPr>
          <w:rFonts w:eastAsia="Arial Unicode MS"/>
          <w:sz w:val="30"/>
          <w:szCs w:val="30"/>
        </w:rPr>
      </w:pPr>
      <w:r>
        <w:rPr>
          <w:rFonts w:eastAsia="Arial Unicode MS"/>
          <w:sz w:val="30"/>
          <w:szCs w:val="30"/>
        </w:rPr>
        <w:t>[</w:t>
      </w:r>
      <w:r w:rsidR="00311FCD">
        <w:rPr>
          <w:rFonts w:eastAsia="Arial Unicode MS"/>
          <w:sz w:val="30"/>
          <w:szCs w:val="30"/>
        </w:rPr>
        <w:t>4</w:t>
      </w:r>
      <w:r>
        <w:rPr>
          <w:rFonts w:eastAsia="Arial Unicode MS"/>
          <w:sz w:val="30"/>
          <w:szCs w:val="30"/>
        </w:rPr>
        <w:t xml:space="preserve">] </w:t>
      </w:r>
      <w:r>
        <w:rPr>
          <w:rFonts w:eastAsia="Arial Unicode MS"/>
          <w:sz w:val="30"/>
          <w:szCs w:val="30"/>
        </w:rPr>
        <w:tab/>
        <w:t>As could well be expected in the circumstances, and on 24 July 2014, the plaintiff filed a notice of application for default judgment.  It did so in terms of Rule 31 (3) (a) of the High Court Rules which provides as follows:-</w:t>
      </w:r>
    </w:p>
    <w:p w:rsidR="00521BBA" w:rsidRDefault="00A54747" w:rsidP="00311FCD">
      <w:pPr>
        <w:spacing w:line="360" w:lineRule="auto"/>
        <w:ind w:left="1440"/>
        <w:jc w:val="both"/>
        <w:rPr>
          <w:rFonts w:eastAsia="Arial Unicode MS"/>
          <w:i/>
          <w:sz w:val="30"/>
          <w:szCs w:val="30"/>
        </w:rPr>
      </w:pPr>
      <w:r>
        <w:rPr>
          <w:rFonts w:eastAsia="Arial Unicode MS"/>
          <w:i/>
          <w:sz w:val="30"/>
          <w:szCs w:val="30"/>
        </w:rPr>
        <w:lastRenderedPageBreak/>
        <w:t>“</w:t>
      </w:r>
      <w:r w:rsidR="00521BBA">
        <w:rPr>
          <w:rFonts w:eastAsia="Arial Unicode MS"/>
          <w:i/>
          <w:sz w:val="30"/>
          <w:szCs w:val="30"/>
        </w:rPr>
        <w:t>Whenever a defendant  is in default of delivery of notice of intention to defend or of a plea, the plaintiff may set the action down as provided in sub-rule (5) for default judgment and the court may, where the claim is for a debt or liquidated demand, without hearing evidence, oral or documentary, and in the case of any other claim, after hearing such evidence as the court may direct, whether oral or documentary, grant judgment against the defendant or make such order as to it seems fit.”</w:t>
      </w:r>
    </w:p>
    <w:p w:rsidR="00521BBA" w:rsidRDefault="00521BBA" w:rsidP="00A54747">
      <w:pPr>
        <w:spacing w:line="480" w:lineRule="auto"/>
        <w:ind w:left="720" w:firstLine="720"/>
        <w:jc w:val="both"/>
        <w:rPr>
          <w:rFonts w:eastAsia="Arial Unicode MS"/>
          <w:i/>
          <w:sz w:val="30"/>
          <w:szCs w:val="30"/>
        </w:rPr>
      </w:pPr>
    </w:p>
    <w:p w:rsidR="0078769B" w:rsidRDefault="00521BBA" w:rsidP="00521BBA">
      <w:pPr>
        <w:spacing w:line="480" w:lineRule="auto"/>
        <w:ind w:left="720" w:hanging="720"/>
        <w:jc w:val="both"/>
        <w:rPr>
          <w:rFonts w:eastAsia="Arial Unicode MS"/>
          <w:sz w:val="30"/>
          <w:szCs w:val="30"/>
        </w:rPr>
      </w:pPr>
      <w:r>
        <w:rPr>
          <w:rFonts w:eastAsia="Arial Unicode MS"/>
          <w:sz w:val="30"/>
          <w:szCs w:val="30"/>
        </w:rPr>
        <w:t>[</w:t>
      </w:r>
      <w:r w:rsidR="00311FCD">
        <w:rPr>
          <w:rFonts w:eastAsia="Arial Unicode MS"/>
          <w:sz w:val="30"/>
          <w:szCs w:val="30"/>
        </w:rPr>
        <w:t>5</w:t>
      </w:r>
      <w:r>
        <w:rPr>
          <w:rFonts w:eastAsia="Arial Unicode MS"/>
          <w:sz w:val="30"/>
          <w:szCs w:val="30"/>
        </w:rPr>
        <w:t>]</w:t>
      </w:r>
      <w:r>
        <w:rPr>
          <w:rFonts w:eastAsia="Arial Unicode MS"/>
          <w:sz w:val="30"/>
          <w:szCs w:val="30"/>
        </w:rPr>
        <w:tab/>
        <w:t>On 25 Jul</w:t>
      </w:r>
      <w:r w:rsidR="002437FF">
        <w:rPr>
          <w:rFonts w:eastAsia="Arial Unicode MS"/>
          <w:sz w:val="30"/>
          <w:szCs w:val="30"/>
        </w:rPr>
        <w:t>y 2014, the High Court (</w:t>
      </w:r>
      <w:proofErr w:type="spellStart"/>
      <w:r w:rsidR="002437FF">
        <w:rPr>
          <w:rFonts w:eastAsia="Arial Unicode MS"/>
          <w:sz w:val="30"/>
          <w:szCs w:val="30"/>
        </w:rPr>
        <w:t>Mabuza</w:t>
      </w:r>
      <w:proofErr w:type="spellEnd"/>
      <w:r w:rsidR="002437FF">
        <w:rPr>
          <w:rFonts w:eastAsia="Arial Unicode MS"/>
          <w:sz w:val="30"/>
          <w:szCs w:val="30"/>
        </w:rPr>
        <w:t xml:space="preserve"> J) duly granted default judgment as prayed.  This was subsequently followed by a writ of execution filed of record on 5 August 2014.  </w:t>
      </w:r>
      <w:r w:rsidR="0078769B">
        <w:rPr>
          <w:rFonts w:eastAsia="Arial Unicode MS"/>
          <w:sz w:val="30"/>
          <w:szCs w:val="30"/>
        </w:rPr>
        <w:t xml:space="preserve">  It is common cause that this writ was duly served upon the defendant on 12 August 2014.  The Deputy Sheriff subsequently filed a </w:t>
      </w:r>
      <w:proofErr w:type="spellStart"/>
      <w:r w:rsidR="0078769B" w:rsidRPr="0078769B">
        <w:rPr>
          <w:rFonts w:eastAsia="Arial Unicode MS"/>
          <w:i/>
          <w:sz w:val="30"/>
          <w:szCs w:val="30"/>
        </w:rPr>
        <w:t>nulla</w:t>
      </w:r>
      <w:proofErr w:type="spellEnd"/>
      <w:r w:rsidR="00D5653E">
        <w:rPr>
          <w:rFonts w:eastAsia="Arial Unicode MS"/>
          <w:i/>
          <w:sz w:val="30"/>
          <w:szCs w:val="30"/>
        </w:rPr>
        <w:t xml:space="preserve"> </w:t>
      </w:r>
      <w:r w:rsidR="0078769B" w:rsidRPr="0078769B">
        <w:rPr>
          <w:rFonts w:eastAsia="Arial Unicode MS"/>
          <w:i/>
          <w:sz w:val="30"/>
          <w:szCs w:val="30"/>
        </w:rPr>
        <w:t>bona</w:t>
      </w:r>
      <w:r w:rsidR="0078769B">
        <w:rPr>
          <w:rFonts w:eastAsia="Arial Unicode MS"/>
          <w:sz w:val="30"/>
          <w:szCs w:val="30"/>
        </w:rPr>
        <w:t xml:space="preserve"> return of service.</w:t>
      </w:r>
    </w:p>
    <w:p w:rsidR="0078769B" w:rsidRDefault="0078769B" w:rsidP="00521BBA">
      <w:pPr>
        <w:spacing w:line="480" w:lineRule="auto"/>
        <w:ind w:left="720" w:hanging="720"/>
        <w:jc w:val="both"/>
        <w:rPr>
          <w:rFonts w:eastAsia="Arial Unicode MS"/>
          <w:sz w:val="30"/>
          <w:szCs w:val="30"/>
        </w:rPr>
      </w:pPr>
    </w:p>
    <w:p w:rsidR="0026695A" w:rsidRDefault="0078769B" w:rsidP="00521BBA">
      <w:pPr>
        <w:spacing w:line="480" w:lineRule="auto"/>
        <w:ind w:left="720" w:hanging="720"/>
        <w:jc w:val="both"/>
        <w:rPr>
          <w:rFonts w:eastAsia="Arial Unicode MS"/>
          <w:sz w:val="30"/>
          <w:szCs w:val="30"/>
        </w:rPr>
      </w:pPr>
      <w:r>
        <w:rPr>
          <w:rFonts w:eastAsia="Arial Unicode MS"/>
          <w:sz w:val="30"/>
          <w:szCs w:val="30"/>
        </w:rPr>
        <w:t>[</w:t>
      </w:r>
      <w:r w:rsidR="00B546B3">
        <w:rPr>
          <w:rFonts w:eastAsia="Arial Unicode MS"/>
          <w:sz w:val="30"/>
          <w:szCs w:val="30"/>
        </w:rPr>
        <w:t>6</w:t>
      </w:r>
      <w:r>
        <w:rPr>
          <w:rFonts w:eastAsia="Arial Unicode MS"/>
          <w:sz w:val="30"/>
          <w:szCs w:val="30"/>
        </w:rPr>
        <w:t>]</w:t>
      </w:r>
      <w:r>
        <w:rPr>
          <w:rFonts w:eastAsia="Arial Unicode MS"/>
          <w:sz w:val="30"/>
          <w:szCs w:val="30"/>
        </w:rPr>
        <w:tab/>
        <w:t xml:space="preserve">Instead of applying for rescission of default judgment under </w:t>
      </w:r>
      <w:r w:rsidR="00D5653E">
        <w:rPr>
          <w:rFonts w:eastAsia="Arial Unicode MS"/>
          <w:sz w:val="30"/>
          <w:szCs w:val="30"/>
        </w:rPr>
        <w:t xml:space="preserve">Rule </w:t>
      </w:r>
      <w:r>
        <w:rPr>
          <w:rFonts w:eastAsia="Arial Unicode MS"/>
          <w:sz w:val="30"/>
          <w:szCs w:val="30"/>
        </w:rPr>
        <w:t xml:space="preserve">31 (b) of the High Court Rules, and on 26 August 2014, the defendant filed a </w:t>
      </w:r>
      <w:r w:rsidR="00D5653E">
        <w:rPr>
          <w:rFonts w:eastAsia="Arial Unicode MS"/>
          <w:sz w:val="30"/>
          <w:szCs w:val="30"/>
        </w:rPr>
        <w:t>“</w:t>
      </w:r>
      <w:r>
        <w:rPr>
          <w:rFonts w:eastAsia="Arial Unicode MS"/>
          <w:sz w:val="30"/>
          <w:szCs w:val="30"/>
        </w:rPr>
        <w:t xml:space="preserve">Notice of Appeal” </w:t>
      </w:r>
      <w:r w:rsidR="0027474A">
        <w:rPr>
          <w:rFonts w:eastAsia="Arial Unicode MS"/>
          <w:sz w:val="30"/>
          <w:szCs w:val="30"/>
        </w:rPr>
        <w:t xml:space="preserve">to this Court.  </w:t>
      </w:r>
      <w:r w:rsidR="002437FF">
        <w:rPr>
          <w:rFonts w:eastAsia="Arial Unicode MS"/>
          <w:sz w:val="30"/>
          <w:szCs w:val="30"/>
        </w:rPr>
        <w:t>It is a further strange feature of this case that in do</w:t>
      </w:r>
      <w:r w:rsidR="00D5653E">
        <w:rPr>
          <w:rFonts w:eastAsia="Arial Unicode MS"/>
          <w:sz w:val="30"/>
          <w:szCs w:val="30"/>
        </w:rPr>
        <w:t>ing</w:t>
      </w:r>
      <w:r w:rsidR="002437FF">
        <w:rPr>
          <w:rFonts w:eastAsia="Arial Unicode MS"/>
          <w:sz w:val="30"/>
          <w:szCs w:val="30"/>
        </w:rPr>
        <w:t xml:space="preserve"> so the defendant failed to </w:t>
      </w:r>
      <w:r w:rsidR="002437FF">
        <w:rPr>
          <w:rFonts w:eastAsia="Arial Unicode MS"/>
          <w:sz w:val="30"/>
          <w:szCs w:val="30"/>
        </w:rPr>
        <w:lastRenderedPageBreak/>
        <w:t>attach any ground</w:t>
      </w:r>
      <w:r w:rsidR="00FB45AD">
        <w:rPr>
          <w:rFonts w:eastAsia="Arial Unicode MS"/>
          <w:sz w:val="30"/>
          <w:szCs w:val="30"/>
        </w:rPr>
        <w:t>s</w:t>
      </w:r>
      <w:r w:rsidR="002437FF">
        <w:rPr>
          <w:rFonts w:eastAsia="Arial Unicode MS"/>
          <w:sz w:val="30"/>
          <w:szCs w:val="30"/>
        </w:rPr>
        <w:t xml:space="preserve"> of appeal at all.  This, in my view, is contrary to Rule 6 (4) of the Court of Appeal Rules which provides as follows:-</w:t>
      </w:r>
    </w:p>
    <w:p w:rsidR="0026695A" w:rsidRDefault="0026695A" w:rsidP="00521BBA">
      <w:pPr>
        <w:spacing w:line="480" w:lineRule="auto"/>
        <w:ind w:left="720" w:hanging="720"/>
        <w:jc w:val="both"/>
        <w:rPr>
          <w:rFonts w:eastAsia="Arial Unicode MS"/>
          <w:sz w:val="30"/>
          <w:szCs w:val="30"/>
        </w:rPr>
      </w:pPr>
    </w:p>
    <w:p w:rsidR="0026695A" w:rsidRPr="00347E0F" w:rsidRDefault="0026695A" w:rsidP="00347E0F">
      <w:pPr>
        <w:spacing w:line="360" w:lineRule="auto"/>
        <w:ind w:left="1440"/>
        <w:jc w:val="both"/>
        <w:rPr>
          <w:rFonts w:eastAsia="Arial Unicode MS"/>
          <w:i/>
          <w:sz w:val="30"/>
          <w:szCs w:val="30"/>
        </w:rPr>
      </w:pPr>
      <w:r w:rsidRPr="00347E0F">
        <w:rPr>
          <w:rFonts w:eastAsia="Arial Unicode MS"/>
          <w:i/>
          <w:sz w:val="30"/>
          <w:szCs w:val="30"/>
        </w:rPr>
        <w:t>“(4) The notice of appeal shall set forth concisely and under distinct heads the grounds of appeal and such grounds shall be numbered consecutively.”</w:t>
      </w:r>
    </w:p>
    <w:p w:rsidR="0027474A" w:rsidRDefault="0027474A" w:rsidP="00B04468">
      <w:pPr>
        <w:spacing w:line="480" w:lineRule="auto"/>
        <w:ind w:left="1440"/>
        <w:jc w:val="both"/>
        <w:rPr>
          <w:rFonts w:eastAsia="Arial Unicode MS"/>
          <w:sz w:val="30"/>
          <w:szCs w:val="30"/>
        </w:rPr>
      </w:pPr>
    </w:p>
    <w:p w:rsidR="00100BD0" w:rsidRDefault="00347E0F" w:rsidP="00347E0F">
      <w:pPr>
        <w:spacing w:line="480" w:lineRule="auto"/>
        <w:ind w:left="720" w:hanging="720"/>
        <w:jc w:val="both"/>
        <w:rPr>
          <w:rFonts w:eastAsia="Arial Unicode MS"/>
          <w:sz w:val="30"/>
          <w:szCs w:val="30"/>
        </w:rPr>
      </w:pPr>
      <w:r>
        <w:rPr>
          <w:rFonts w:eastAsia="Arial Unicode MS"/>
          <w:sz w:val="30"/>
          <w:szCs w:val="30"/>
        </w:rPr>
        <w:t>[7]</w:t>
      </w:r>
      <w:r>
        <w:rPr>
          <w:rFonts w:eastAsia="Arial Unicode MS"/>
          <w:sz w:val="30"/>
          <w:szCs w:val="30"/>
        </w:rPr>
        <w:tab/>
      </w:r>
      <w:r w:rsidR="0026695A">
        <w:rPr>
          <w:rFonts w:eastAsia="Arial Unicode MS"/>
          <w:sz w:val="30"/>
          <w:szCs w:val="30"/>
        </w:rPr>
        <w:t>A proper reading of this Rule shows that it was c</w:t>
      </w:r>
      <w:r w:rsidR="00787D44">
        <w:rPr>
          <w:rFonts w:eastAsia="Arial Unicode MS"/>
          <w:sz w:val="30"/>
          <w:szCs w:val="30"/>
        </w:rPr>
        <w:t>learly the intention of the law</w:t>
      </w:r>
      <w:r w:rsidR="0026695A">
        <w:rPr>
          <w:rFonts w:eastAsia="Arial Unicode MS"/>
          <w:sz w:val="30"/>
          <w:szCs w:val="30"/>
        </w:rPr>
        <w:t xml:space="preserve">giver that </w:t>
      </w:r>
      <w:r w:rsidR="00787D44">
        <w:rPr>
          <w:rFonts w:eastAsia="Arial Unicode MS"/>
          <w:sz w:val="30"/>
          <w:szCs w:val="30"/>
        </w:rPr>
        <w:t xml:space="preserve">grounds of appeal </w:t>
      </w:r>
      <w:r w:rsidR="0026695A">
        <w:rPr>
          <w:rFonts w:eastAsia="Arial Unicode MS"/>
          <w:sz w:val="30"/>
          <w:szCs w:val="30"/>
        </w:rPr>
        <w:t>must be filed simultaneously with the notice of appeal itself</w:t>
      </w:r>
      <w:r>
        <w:rPr>
          <w:rFonts w:eastAsia="Arial Unicode MS"/>
          <w:sz w:val="30"/>
          <w:szCs w:val="30"/>
        </w:rPr>
        <w:t>,</w:t>
      </w:r>
      <w:r w:rsidR="0026695A">
        <w:rPr>
          <w:rFonts w:eastAsia="Arial Unicode MS"/>
          <w:sz w:val="30"/>
          <w:szCs w:val="30"/>
        </w:rPr>
        <w:t xml:space="preserve"> failing which </w:t>
      </w:r>
      <w:proofErr w:type="spellStart"/>
      <w:r w:rsidR="0026695A">
        <w:rPr>
          <w:rFonts w:eastAsia="Arial Unicode MS"/>
          <w:sz w:val="30"/>
          <w:szCs w:val="30"/>
        </w:rPr>
        <w:t>condonation</w:t>
      </w:r>
      <w:proofErr w:type="spellEnd"/>
      <w:r w:rsidR="0026695A">
        <w:rPr>
          <w:rFonts w:eastAsia="Arial Unicode MS"/>
          <w:sz w:val="30"/>
          <w:szCs w:val="30"/>
        </w:rPr>
        <w:t xml:space="preserve"> ought to be sought and obtained from this Court.  It need hardly be stressed that the grounds of appeal define the issues for determination.  They are part and parcel of the notice of appeal itself.  Indeed, they assist the Court in determining whether </w:t>
      </w:r>
      <w:r w:rsidR="00100BD0">
        <w:rPr>
          <w:rFonts w:eastAsia="Arial Unicode MS"/>
          <w:sz w:val="30"/>
          <w:szCs w:val="30"/>
        </w:rPr>
        <w:t xml:space="preserve">an appeal is genuine or frivolous, filed simply to delay the respondent from enjoying </w:t>
      </w:r>
      <w:r>
        <w:rPr>
          <w:rFonts w:eastAsia="Arial Unicode MS"/>
          <w:sz w:val="30"/>
          <w:szCs w:val="30"/>
        </w:rPr>
        <w:t xml:space="preserve">the fruits of </w:t>
      </w:r>
      <w:r w:rsidR="00100BD0">
        <w:rPr>
          <w:rFonts w:eastAsia="Arial Unicode MS"/>
          <w:sz w:val="30"/>
          <w:szCs w:val="30"/>
        </w:rPr>
        <w:t xml:space="preserve">his/her judgment in the matter.  It follows </w:t>
      </w:r>
      <w:r>
        <w:rPr>
          <w:rFonts w:eastAsia="Arial Unicode MS"/>
          <w:sz w:val="30"/>
          <w:szCs w:val="30"/>
        </w:rPr>
        <w:t xml:space="preserve">inexorably </w:t>
      </w:r>
      <w:r w:rsidR="00100BD0">
        <w:rPr>
          <w:rFonts w:eastAsia="Arial Unicode MS"/>
          <w:sz w:val="30"/>
          <w:szCs w:val="30"/>
        </w:rPr>
        <w:t xml:space="preserve">from these considerations that a notice of appeal which does not contain grounds of appeal is incompetent.  See </w:t>
      </w:r>
      <w:r w:rsidR="00100BD0">
        <w:rPr>
          <w:rFonts w:eastAsia="Arial Unicode MS"/>
          <w:b/>
          <w:sz w:val="30"/>
          <w:szCs w:val="30"/>
          <w:u w:val="single"/>
        </w:rPr>
        <w:t xml:space="preserve">Silence </w:t>
      </w:r>
      <w:proofErr w:type="spellStart"/>
      <w:r w:rsidR="00100BD0">
        <w:rPr>
          <w:rFonts w:eastAsia="Arial Unicode MS"/>
          <w:b/>
          <w:sz w:val="30"/>
          <w:szCs w:val="30"/>
          <w:u w:val="single"/>
        </w:rPr>
        <w:t>Gamedze</w:t>
      </w:r>
      <w:proofErr w:type="spellEnd"/>
      <w:r w:rsidR="00100BD0">
        <w:rPr>
          <w:rFonts w:eastAsia="Arial Unicode MS"/>
          <w:b/>
          <w:sz w:val="30"/>
          <w:szCs w:val="30"/>
          <w:u w:val="single"/>
        </w:rPr>
        <w:t xml:space="preserve"> and Others v </w:t>
      </w:r>
      <w:proofErr w:type="spellStart"/>
      <w:r w:rsidR="00100BD0">
        <w:rPr>
          <w:rFonts w:eastAsia="Arial Unicode MS"/>
          <w:b/>
          <w:sz w:val="30"/>
          <w:szCs w:val="30"/>
          <w:u w:val="single"/>
        </w:rPr>
        <w:t>Thabiso</w:t>
      </w:r>
      <w:proofErr w:type="spellEnd"/>
      <w:r w:rsidR="00100BD0">
        <w:rPr>
          <w:rFonts w:eastAsia="Arial Unicode MS"/>
          <w:b/>
          <w:sz w:val="30"/>
          <w:szCs w:val="30"/>
          <w:u w:val="single"/>
        </w:rPr>
        <w:t xml:space="preserve"> </w:t>
      </w:r>
      <w:proofErr w:type="spellStart"/>
      <w:r w:rsidR="00100BD0">
        <w:rPr>
          <w:rFonts w:eastAsia="Arial Unicode MS"/>
          <w:b/>
          <w:sz w:val="30"/>
          <w:szCs w:val="30"/>
          <w:u w:val="single"/>
        </w:rPr>
        <w:lastRenderedPageBreak/>
        <w:t>Fakudze</w:t>
      </w:r>
      <w:proofErr w:type="spellEnd"/>
      <w:r w:rsidR="00100BD0">
        <w:rPr>
          <w:rFonts w:eastAsia="Arial Unicode MS"/>
          <w:b/>
          <w:sz w:val="30"/>
          <w:szCs w:val="30"/>
          <w:u w:val="single"/>
        </w:rPr>
        <w:t xml:space="preserve">; in re </w:t>
      </w:r>
      <w:proofErr w:type="spellStart"/>
      <w:r w:rsidR="00100BD0">
        <w:rPr>
          <w:rFonts w:eastAsia="Arial Unicode MS"/>
          <w:b/>
          <w:sz w:val="30"/>
          <w:szCs w:val="30"/>
          <w:u w:val="single"/>
        </w:rPr>
        <w:t>Thabiso</w:t>
      </w:r>
      <w:proofErr w:type="spellEnd"/>
      <w:r w:rsidR="00100BD0">
        <w:rPr>
          <w:rFonts w:eastAsia="Arial Unicode MS"/>
          <w:b/>
          <w:sz w:val="30"/>
          <w:szCs w:val="30"/>
          <w:u w:val="single"/>
        </w:rPr>
        <w:t xml:space="preserve"> </w:t>
      </w:r>
      <w:proofErr w:type="spellStart"/>
      <w:r w:rsidR="00E1341B">
        <w:rPr>
          <w:rFonts w:eastAsia="Arial Unicode MS"/>
          <w:b/>
          <w:sz w:val="30"/>
          <w:szCs w:val="30"/>
          <w:u w:val="single"/>
        </w:rPr>
        <w:t>F</w:t>
      </w:r>
      <w:r w:rsidR="00100BD0">
        <w:rPr>
          <w:rFonts w:eastAsia="Arial Unicode MS"/>
          <w:b/>
          <w:sz w:val="30"/>
          <w:szCs w:val="30"/>
          <w:u w:val="single"/>
        </w:rPr>
        <w:t>akudze</w:t>
      </w:r>
      <w:proofErr w:type="spellEnd"/>
      <w:r w:rsidR="00100BD0">
        <w:rPr>
          <w:rFonts w:eastAsia="Arial Unicode MS"/>
          <w:b/>
          <w:sz w:val="30"/>
          <w:szCs w:val="30"/>
          <w:u w:val="single"/>
        </w:rPr>
        <w:t xml:space="preserve"> v Silence </w:t>
      </w:r>
      <w:proofErr w:type="spellStart"/>
      <w:r w:rsidR="00100BD0">
        <w:rPr>
          <w:rFonts w:eastAsia="Arial Unicode MS"/>
          <w:b/>
          <w:sz w:val="30"/>
          <w:szCs w:val="30"/>
          <w:u w:val="single"/>
        </w:rPr>
        <w:t>Gamedze</w:t>
      </w:r>
      <w:proofErr w:type="spellEnd"/>
      <w:r w:rsidR="00100BD0">
        <w:rPr>
          <w:rFonts w:eastAsia="Arial Unicode MS"/>
          <w:b/>
          <w:sz w:val="30"/>
          <w:szCs w:val="30"/>
          <w:u w:val="single"/>
        </w:rPr>
        <w:t xml:space="preserve">, Civil </w:t>
      </w:r>
      <w:proofErr w:type="spellStart"/>
      <w:r w:rsidR="00100BD0">
        <w:rPr>
          <w:rFonts w:eastAsia="Arial Unicode MS"/>
          <w:b/>
          <w:sz w:val="30"/>
          <w:szCs w:val="30"/>
          <w:u w:val="single"/>
        </w:rPr>
        <w:t>Appela</w:t>
      </w:r>
      <w:proofErr w:type="spellEnd"/>
      <w:r w:rsidR="00100BD0">
        <w:rPr>
          <w:rFonts w:eastAsia="Arial Unicode MS"/>
          <w:b/>
          <w:sz w:val="30"/>
          <w:szCs w:val="30"/>
          <w:u w:val="single"/>
        </w:rPr>
        <w:t xml:space="preserve"> Case No. 14/2012</w:t>
      </w:r>
      <w:r w:rsidRPr="00347E0F">
        <w:rPr>
          <w:rFonts w:eastAsia="Arial Unicode MS"/>
          <w:sz w:val="30"/>
          <w:szCs w:val="30"/>
        </w:rPr>
        <w:t xml:space="preserve"> per my Sister Ota JA (</w:t>
      </w:r>
      <w:proofErr w:type="spellStart"/>
      <w:r w:rsidRPr="00347E0F">
        <w:rPr>
          <w:rFonts w:eastAsia="Arial Unicode MS"/>
          <w:sz w:val="30"/>
          <w:szCs w:val="30"/>
        </w:rPr>
        <w:t>Ramodibedi</w:t>
      </w:r>
      <w:proofErr w:type="spellEnd"/>
      <w:r w:rsidRPr="00347E0F">
        <w:rPr>
          <w:rFonts w:eastAsia="Arial Unicode MS"/>
          <w:sz w:val="30"/>
          <w:szCs w:val="30"/>
        </w:rPr>
        <w:t xml:space="preserve"> CJ and Dr </w:t>
      </w:r>
      <w:proofErr w:type="spellStart"/>
      <w:r w:rsidRPr="00347E0F">
        <w:rPr>
          <w:rFonts w:eastAsia="Arial Unicode MS"/>
          <w:sz w:val="30"/>
          <w:szCs w:val="30"/>
        </w:rPr>
        <w:t>Twum</w:t>
      </w:r>
      <w:proofErr w:type="spellEnd"/>
      <w:r w:rsidRPr="00347E0F">
        <w:rPr>
          <w:rFonts w:eastAsia="Arial Unicode MS"/>
          <w:sz w:val="30"/>
          <w:szCs w:val="30"/>
        </w:rPr>
        <w:t xml:space="preserve"> JA concurring)</w:t>
      </w:r>
      <w:r w:rsidR="00100BD0">
        <w:rPr>
          <w:rFonts w:eastAsia="Arial Unicode MS"/>
          <w:sz w:val="30"/>
          <w:szCs w:val="30"/>
        </w:rPr>
        <w:t>.</w:t>
      </w:r>
    </w:p>
    <w:p w:rsidR="00100BD0" w:rsidRDefault="00100BD0" w:rsidP="00B04468">
      <w:pPr>
        <w:spacing w:line="480" w:lineRule="auto"/>
        <w:jc w:val="both"/>
        <w:rPr>
          <w:rFonts w:eastAsia="Arial Unicode MS"/>
          <w:sz w:val="30"/>
          <w:szCs w:val="30"/>
        </w:rPr>
      </w:pPr>
    </w:p>
    <w:p w:rsidR="00B546B3" w:rsidRPr="00D0463E" w:rsidRDefault="00B546B3" w:rsidP="00373F85">
      <w:pPr>
        <w:spacing w:line="480" w:lineRule="auto"/>
        <w:ind w:left="720" w:hanging="720"/>
        <w:jc w:val="both"/>
        <w:rPr>
          <w:rFonts w:eastAsia="Arial Unicode MS"/>
          <w:sz w:val="30"/>
          <w:szCs w:val="30"/>
        </w:rPr>
      </w:pPr>
      <w:r>
        <w:rPr>
          <w:rFonts w:eastAsia="Arial Unicode MS"/>
          <w:sz w:val="30"/>
          <w:szCs w:val="30"/>
        </w:rPr>
        <w:t>[</w:t>
      </w:r>
      <w:r w:rsidR="00347E0F">
        <w:rPr>
          <w:rFonts w:eastAsia="Arial Unicode MS"/>
          <w:sz w:val="30"/>
          <w:szCs w:val="30"/>
        </w:rPr>
        <w:t>8</w:t>
      </w:r>
      <w:r>
        <w:rPr>
          <w:rFonts w:eastAsia="Arial Unicode MS"/>
          <w:sz w:val="30"/>
          <w:szCs w:val="30"/>
        </w:rPr>
        <w:t>]</w:t>
      </w:r>
      <w:r>
        <w:rPr>
          <w:rFonts w:eastAsia="Arial Unicode MS"/>
          <w:sz w:val="30"/>
          <w:szCs w:val="30"/>
        </w:rPr>
        <w:tab/>
        <w:t>Faced with these difficulties, and on 12 November 2014, the defendant filed a “Notice of Abandonment of Appeal,</w:t>
      </w:r>
      <w:r w:rsidR="00DE3EC1">
        <w:rPr>
          <w:rFonts w:eastAsia="Arial Unicode MS"/>
          <w:sz w:val="30"/>
          <w:szCs w:val="30"/>
        </w:rPr>
        <w:t>” tendering</w:t>
      </w:r>
      <w:r>
        <w:rPr>
          <w:rFonts w:eastAsia="Arial Unicode MS"/>
          <w:sz w:val="30"/>
          <w:szCs w:val="30"/>
        </w:rPr>
        <w:t xml:space="preserve"> costs on the ordinary scale as between party and party.  </w:t>
      </w:r>
      <w:r w:rsidR="00DE3EC1">
        <w:rPr>
          <w:rFonts w:eastAsia="Arial Unicode MS"/>
          <w:sz w:val="30"/>
          <w:szCs w:val="30"/>
        </w:rPr>
        <w:t xml:space="preserve">Quite understandably in the circumstances, </w:t>
      </w:r>
      <w:proofErr w:type="spellStart"/>
      <w:r w:rsidR="00DE3EC1" w:rsidRPr="00DE3EC1">
        <w:rPr>
          <w:rFonts w:eastAsia="Arial Unicode MS"/>
          <w:sz w:val="30"/>
          <w:szCs w:val="30"/>
          <w:u w:val="single"/>
        </w:rPr>
        <w:t>Mr</w:t>
      </w:r>
      <w:proofErr w:type="spellEnd"/>
      <w:r w:rsidR="00DE3EC1" w:rsidRPr="00DE3EC1">
        <w:rPr>
          <w:rFonts w:eastAsia="Arial Unicode MS"/>
          <w:sz w:val="30"/>
          <w:szCs w:val="30"/>
          <w:u w:val="single"/>
        </w:rPr>
        <w:t xml:space="preserve"> J. </w:t>
      </w:r>
      <w:proofErr w:type="spellStart"/>
      <w:r w:rsidR="00DE3EC1" w:rsidRPr="00DE3EC1">
        <w:rPr>
          <w:rFonts w:eastAsia="Arial Unicode MS"/>
          <w:sz w:val="30"/>
          <w:szCs w:val="30"/>
          <w:u w:val="single"/>
        </w:rPr>
        <w:t>Henwood</w:t>
      </w:r>
      <w:proofErr w:type="spellEnd"/>
      <w:r w:rsidR="00DE3EC1">
        <w:rPr>
          <w:rFonts w:eastAsia="Arial Unicode MS"/>
          <w:sz w:val="30"/>
          <w:szCs w:val="30"/>
        </w:rPr>
        <w:t xml:space="preserve"> for the</w:t>
      </w:r>
      <w:r w:rsidR="00AC4CCA">
        <w:rPr>
          <w:rFonts w:eastAsia="Arial Unicode MS"/>
          <w:sz w:val="30"/>
          <w:szCs w:val="30"/>
        </w:rPr>
        <w:t xml:space="preserve"> plaintiff submitted in this Court that the defendant’s </w:t>
      </w:r>
      <w:r w:rsidR="00D0463E">
        <w:rPr>
          <w:rFonts w:eastAsia="Arial Unicode MS"/>
          <w:sz w:val="30"/>
          <w:szCs w:val="30"/>
        </w:rPr>
        <w:t xml:space="preserve">conduct warranted an award of costs on the punitive scale as between attorney and own client.  He submitted that such costs should be paid by the attorney Thabo </w:t>
      </w:r>
      <w:proofErr w:type="spellStart"/>
      <w:r w:rsidR="00B24D34">
        <w:rPr>
          <w:rFonts w:eastAsia="Arial Unicode MS"/>
          <w:sz w:val="30"/>
          <w:szCs w:val="30"/>
        </w:rPr>
        <w:t>Fakudze</w:t>
      </w:r>
      <w:proofErr w:type="spellEnd"/>
      <w:r w:rsidR="00B24D34">
        <w:rPr>
          <w:rFonts w:eastAsia="Arial Unicode MS"/>
          <w:sz w:val="30"/>
          <w:szCs w:val="30"/>
        </w:rPr>
        <w:t xml:space="preserve"> de</w:t>
      </w:r>
      <w:r w:rsidR="00D0463E">
        <w:rPr>
          <w:rFonts w:eastAsia="Arial Unicode MS"/>
          <w:i/>
          <w:sz w:val="30"/>
          <w:szCs w:val="30"/>
        </w:rPr>
        <w:t xml:space="preserve"> </w:t>
      </w:r>
      <w:proofErr w:type="spellStart"/>
      <w:r w:rsidR="00D0463E">
        <w:rPr>
          <w:rFonts w:eastAsia="Arial Unicode MS"/>
          <w:i/>
          <w:sz w:val="30"/>
          <w:szCs w:val="30"/>
        </w:rPr>
        <w:t>bonis</w:t>
      </w:r>
      <w:proofErr w:type="spellEnd"/>
      <w:r w:rsidR="00D0463E">
        <w:rPr>
          <w:rFonts w:eastAsia="Arial Unicode MS"/>
          <w:i/>
          <w:sz w:val="30"/>
          <w:szCs w:val="30"/>
        </w:rPr>
        <w:t xml:space="preserve"> </w:t>
      </w:r>
      <w:proofErr w:type="spellStart"/>
      <w:r w:rsidR="00D0463E">
        <w:rPr>
          <w:rFonts w:eastAsia="Arial Unicode MS"/>
          <w:i/>
          <w:sz w:val="30"/>
          <w:szCs w:val="30"/>
        </w:rPr>
        <w:t>propriis</w:t>
      </w:r>
      <w:proofErr w:type="spellEnd"/>
      <w:r w:rsidR="00D0463E">
        <w:rPr>
          <w:rFonts w:eastAsia="Arial Unicode MS"/>
          <w:i/>
          <w:sz w:val="30"/>
          <w:szCs w:val="30"/>
        </w:rPr>
        <w:t xml:space="preserve">.  </w:t>
      </w:r>
      <w:r w:rsidR="00D0463E">
        <w:rPr>
          <w:rFonts w:eastAsia="Arial Unicode MS"/>
          <w:sz w:val="30"/>
          <w:szCs w:val="30"/>
        </w:rPr>
        <w:t xml:space="preserve">For </w:t>
      </w:r>
      <w:r w:rsidR="00B24D34">
        <w:rPr>
          <w:rFonts w:eastAsia="Arial Unicode MS"/>
          <w:sz w:val="30"/>
          <w:szCs w:val="30"/>
        </w:rPr>
        <w:t xml:space="preserve">the reasons which </w:t>
      </w:r>
      <w:r w:rsidR="00347E0F">
        <w:rPr>
          <w:rFonts w:eastAsia="Arial Unicode MS"/>
          <w:sz w:val="30"/>
          <w:szCs w:val="30"/>
        </w:rPr>
        <w:t xml:space="preserve">follow shortly, I </w:t>
      </w:r>
      <w:r w:rsidR="00B24D34">
        <w:rPr>
          <w:rFonts w:eastAsia="Arial Unicode MS"/>
          <w:sz w:val="30"/>
          <w:szCs w:val="30"/>
        </w:rPr>
        <w:t xml:space="preserve">am disposed to agree.  Indeed for the sake of completeness, the record will show that by letter dated 18 November 2014, the appellant was duly put on notice to show </w:t>
      </w:r>
      <w:proofErr w:type="gramStart"/>
      <w:r w:rsidR="00B24D34">
        <w:rPr>
          <w:rFonts w:eastAsia="Arial Unicode MS"/>
          <w:sz w:val="30"/>
          <w:szCs w:val="30"/>
        </w:rPr>
        <w:t>cause</w:t>
      </w:r>
      <w:proofErr w:type="gramEnd"/>
      <w:r w:rsidR="00B24D34">
        <w:rPr>
          <w:rFonts w:eastAsia="Arial Unicode MS"/>
          <w:sz w:val="30"/>
          <w:szCs w:val="30"/>
        </w:rPr>
        <w:t xml:space="preserve"> why </w:t>
      </w:r>
      <w:r w:rsidR="00347E0F">
        <w:rPr>
          <w:rFonts w:eastAsia="Arial Unicode MS"/>
          <w:sz w:val="30"/>
          <w:szCs w:val="30"/>
        </w:rPr>
        <w:t xml:space="preserve">a punitive costs </w:t>
      </w:r>
      <w:r w:rsidR="00B24D34">
        <w:rPr>
          <w:rFonts w:eastAsia="Arial Unicode MS"/>
          <w:sz w:val="30"/>
          <w:szCs w:val="30"/>
        </w:rPr>
        <w:t>order in this regard should not be made.</w:t>
      </w:r>
    </w:p>
    <w:p w:rsidR="00B546B3" w:rsidRPr="00100BD0" w:rsidRDefault="00B546B3" w:rsidP="00B04468">
      <w:pPr>
        <w:spacing w:line="480" w:lineRule="auto"/>
        <w:jc w:val="both"/>
        <w:rPr>
          <w:rFonts w:eastAsia="Arial Unicode MS"/>
          <w:sz w:val="30"/>
          <w:szCs w:val="30"/>
        </w:rPr>
      </w:pPr>
    </w:p>
    <w:p w:rsidR="00CE2692" w:rsidRDefault="002035A1" w:rsidP="00B04468">
      <w:pPr>
        <w:spacing w:line="480" w:lineRule="auto"/>
        <w:ind w:left="720" w:hanging="720"/>
        <w:jc w:val="both"/>
        <w:rPr>
          <w:rFonts w:eastAsia="Arial Unicode MS"/>
          <w:sz w:val="30"/>
          <w:szCs w:val="30"/>
        </w:rPr>
      </w:pPr>
      <w:r>
        <w:rPr>
          <w:rFonts w:eastAsia="Arial Unicode MS"/>
          <w:sz w:val="30"/>
          <w:szCs w:val="30"/>
        </w:rPr>
        <w:lastRenderedPageBreak/>
        <w:t>[</w:t>
      </w:r>
      <w:r w:rsidR="00347E0F">
        <w:rPr>
          <w:rFonts w:eastAsia="Arial Unicode MS"/>
          <w:sz w:val="30"/>
          <w:szCs w:val="30"/>
        </w:rPr>
        <w:t>9</w:t>
      </w:r>
      <w:r>
        <w:rPr>
          <w:rFonts w:eastAsia="Arial Unicode MS"/>
          <w:sz w:val="30"/>
          <w:szCs w:val="30"/>
        </w:rPr>
        <w:t>]</w:t>
      </w:r>
      <w:r>
        <w:rPr>
          <w:rFonts w:eastAsia="Arial Unicode MS"/>
          <w:sz w:val="30"/>
          <w:szCs w:val="30"/>
        </w:rPr>
        <w:tab/>
        <w:t xml:space="preserve">It </w:t>
      </w:r>
      <w:r w:rsidR="00B546B3">
        <w:rPr>
          <w:rFonts w:eastAsia="Arial Unicode MS"/>
          <w:sz w:val="30"/>
          <w:szCs w:val="30"/>
        </w:rPr>
        <w:t>is necessary</w:t>
      </w:r>
      <w:r>
        <w:rPr>
          <w:rFonts w:eastAsia="Arial Unicode MS"/>
          <w:sz w:val="30"/>
          <w:szCs w:val="30"/>
        </w:rPr>
        <w:t xml:space="preserve"> to point out that this Court has repeatedly warned against flagrant disregard of </w:t>
      </w:r>
      <w:r w:rsidR="00347E0F">
        <w:rPr>
          <w:rFonts w:eastAsia="Arial Unicode MS"/>
          <w:sz w:val="30"/>
          <w:szCs w:val="30"/>
        </w:rPr>
        <w:t>i</w:t>
      </w:r>
      <w:r>
        <w:rPr>
          <w:rFonts w:eastAsia="Arial Unicode MS"/>
          <w:sz w:val="30"/>
          <w:szCs w:val="30"/>
        </w:rPr>
        <w:t>t</w:t>
      </w:r>
      <w:r w:rsidR="00347E0F">
        <w:rPr>
          <w:rFonts w:eastAsia="Arial Unicode MS"/>
          <w:sz w:val="30"/>
          <w:szCs w:val="30"/>
        </w:rPr>
        <w:t>s</w:t>
      </w:r>
      <w:r>
        <w:rPr>
          <w:rFonts w:eastAsia="Arial Unicode MS"/>
          <w:sz w:val="30"/>
          <w:szCs w:val="30"/>
        </w:rPr>
        <w:t xml:space="preserve"> Rules.  Thus, for example, my Brother Moore JA put the </w:t>
      </w:r>
      <w:r w:rsidR="00E11ECD">
        <w:rPr>
          <w:rFonts w:eastAsia="Arial Unicode MS"/>
          <w:sz w:val="30"/>
          <w:szCs w:val="30"/>
        </w:rPr>
        <w:t xml:space="preserve">point </w:t>
      </w:r>
      <w:r>
        <w:rPr>
          <w:rFonts w:eastAsia="Arial Unicode MS"/>
          <w:sz w:val="30"/>
          <w:szCs w:val="30"/>
        </w:rPr>
        <w:t xml:space="preserve">emphatically in the following apposite terms in </w:t>
      </w:r>
      <w:proofErr w:type="spellStart"/>
      <w:r>
        <w:rPr>
          <w:rFonts w:eastAsia="Arial Unicode MS"/>
          <w:b/>
          <w:sz w:val="30"/>
          <w:szCs w:val="30"/>
          <w:u w:val="single"/>
        </w:rPr>
        <w:t>Sandile</w:t>
      </w:r>
      <w:proofErr w:type="spellEnd"/>
      <w:r>
        <w:rPr>
          <w:rFonts w:eastAsia="Arial Unicode MS"/>
          <w:b/>
          <w:sz w:val="30"/>
          <w:szCs w:val="30"/>
          <w:u w:val="single"/>
        </w:rPr>
        <w:t xml:space="preserve"> </w:t>
      </w:r>
      <w:proofErr w:type="spellStart"/>
      <w:r>
        <w:rPr>
          <w:rFonts w:eastAsia="Arial Unicode MS"/>
          <w:b/>
          <w:sz w:val="30"/>
          <w:szCs w:val="30"/>
          <w:u w:val="single"/>
        </w:rPr>
        <w:t>Hadebe</w:t>
      </w:r>
      <w:proofErr w:type="spellEnd"/>
      <w:r>
        <w:rPr>
          <w:rFonts w:eastAsia="Arial Unicode MS"/>
          <w:b/>
          <w:sz w:val="30"/>
          <w:szCs w:val="30"/>
          <w:u w:val="single"/>
        </w:rPr>
        <w:t xml:space="preserve"> v </w:t>
      </w:r>
      <w:proofErr w:type="spellStart"/>
      <w:r>
        <w:rPr>
          <w:rFonts w:eastAsia="Arial Unicode MS"/>
          <w:b/>
          <w:sz w:val="30"/>
          <w:szCs w:val="30"/>
          <w:u w:val="single"/>
        </w:rPr>
        <w:t>Sifiso</w:t>
      </w:r>
      <w:proofErr w:type="spellEnd"/>
      <w:r>
        <w:rPr>
          <w:rFonts w:eastAsia="Arial Unicode MS"/>
          <w:b/>
          <w:sz w:val="30"/>
          <w:szCs w:val="30"/>
          <w:u w:val="single"/>
        </w:rPr>
        <w:t xml:space="preserve"> </w:t>
      </w:r>
      <w:proofErr w:type="spellStart"/>
      <w:r>
        <w:rPr>
          <w:rFonts w:eastAsia="Arial Unicode MS"/>
          <w:b/>
          <w:sz w:val="30"/>
          <w:szCs w:val="30"/>
          <w:u w:val="single"/>
        </w:rPr>
        <w:t>Khumalo</w:t>
      </w:r>
      <w:proofErr w:type="spellEnd"/>
      <w:r>
        <w:rPr>
          <w:rFonts w:eastAsia="Arial Unicode MS"/>
          <w:b/>
          <w:sz w:val="30"/>
          <w:szCs w:val="30"/>
          <w:u w:val="single"/>
        </w:rPr>
        <w:t xml:space="preserve"> N.O. and Others, Civil Appeal Case No. 25/2012</w:t>
      </w:r>
      <w:r>
        <w:rPr>
          <w:rFonts w:eastAsia="Arial Unicode MS"/>
          <w:b/>
          <w:sz w:val="30"/>
          <w:szCs w:val="30"/>
        </w:rPr>
        <w:t xml:space="preserve"> </w:t>
      </w:r>
      <w:r w:rsidRPr="002035A1">
        <w:rPr>
          <w:rFonts w:eastAsia="Arial Unicode MS"/>
          <w:sz w:val="30"/>
          <w:szCs w:val="30"/>
        </w:rPr>
        <w:t xml:space="preserve">at </w:t>
      </w:r>
      <w:r>
        <w:rPr>
          <w:rFonts w:eastAsia="Arial Unicode MS"/>
          <w:sz w:val="30"/>
          <w:szCs w:val="30"/>
        </w:rPr>
        <w:t xml:space="preserve">paragraphs [7] and [8]:- </w:t>
      </w:r>
    </w:p>
    <w:p w:rsidR="00CE2692" w:rsidRDefault="00CE2692" w:rsidP="002035A1">
      <w:pPr>
        <w:spacing w:line="480" w:lineRule="auto"/>
        <w:jc w:val="both"/>
        <w:rPr>
          <w:rFonts w:eastAsia="Arial Unicode MS"/>
          <w:sz w:val="30"/>
          <w:szCs w:val="30"/>
        </w:rPr>
      </w:pPr>
    </w:p>
    <w:p w:rsidR="00CE2692" w:rsidRDefault="00CE2692" w:rsidP="001F0AF8">
      <w:pPr>
        <w:spacing w:line="360" w:lineRule="auto"/>
        <w:ind w:left="720"/>
        <w:jc w:val="both"/>
        <w:rPr>
          <w:rFonts w:eastAsia="Arial Unicode MS"/>
          <w:i/>
          <w:sz w:val="30"/>
          <w:szCs w:val="30"/>
        </w:rPr>
      </w:pPr>
      <w:r>
        <w:rPr>
          <w:rFonts w:eastAsia="Arial Unicode MS"/>
          <w:i/>
          <w:sz w:val="30"/>
          <w:szCs w:val="30"/>
        </w:rPr>
        <w:t>“[7]  This Court</w:t>
      </w:r>
      <w:r w:rsidR="001F0AF8">
        <w:rPr>
          <w:rFonts w:eastAsia="Arial Unicode MS"/>
          <w:i/>
          <w:sz w:val="30"/>
          <w:szCs w:val="30"/>
        </w:rPr>
        <w:t xml:space="preserve"> has repeatedly, as if reciting a litany, pointed out that non compliance with the Rules of the Supreme Court would not be countenanced except in cases where good and substantial reasons, or sufficient cause, have been shown to warrant the exercise of this Court’s </w:t>
      </w:r>
      <w:r>
        <w:rPr>
          <w:rFonts w:eastAsia="Arial Unicode MS"/>
          <w:i/>
          <w:sz w:val="30"/>
          <w:szCs w:val="30"/>
        </w:rPr>
        <w:t>indulgence.</w:t>
      </w:r>
    </w:p>
    <w:p w:rsidR="001F0AF8" w:rsidRDefault="001F0AF8" w:rsidP="00CE2692">
      <w:pPr>
        <w:spacing w:line="480" w:lineRule="auto"/>
        <w:ind w:firstLine="720"/>
        <w:jc w:val="both"/>
        <w:rPr>
          <w:rFonts w:eastAsia="Arial Unicode MS"/>
          <w:i/>
          <w:sz w:val="30"/>
          <w:szCs w:val="30"/>
        </w:rPr>
      </w:pPr>
    </w:p>
    <w:p w:rsidR="00CE2692" w:rsidRDefault="00CE2692" w:rsidP="001F0AF8">
      <w:pPr>
        <w:spacing w:line="360" w:lineRule="auto"/>
        <w:ind w:left="720"/>
        <w:jc w:val="both"/>
        <w:rPr>
          <w:rFonts w:eastAsia="Arial Unicode MS"/>
          <w:i/>
          <w:sz w:val="30"/>
          <w:szCs w:val="30"/>
        </w:rPr>
      </w:pPr>
      <w:r>
        <w:rPr>
          <w:rFonts w:eastAsia="Arial Unicode MS"/>
          <w:i/>
          <w:sz w:val="30"/>
          <w:szCs w:val="30"/>
        </w:rPr>
        <w:t>[8</w:t>
      </w:r>
      <w:r w:rsidR="001F0AF8">
        <w:rPr>
          <w:rFonts w:eastAsia="Arial Unicode MS"/>
          <w:i/>
          <w:sz w:val="30"/>
          <w:szCs w:val="30"/>
        </w:rPr>
        <w:t>] Despite</w:t>
      </w:r>
      <w:r>
        <w:rPr>
          <w:rFonts w:eastAsia="Arial Unicode MS"/>
          <w:i/>
          <w:sz w:val="30"/>
          <w:szCs w:val="30"/>
        </w:rPr>
        <w:t xml:space="preserve"> </w:t>
      </w:r>
      <w:r w:rsidR="001F0AF8">
        <w:rPr>
          <w:rFonts w:eastAsia="Arial Unicode MS"/>
          <w:i/>
          <w:sz w:val="30"/>
          <w:szCs w:val="30"/>
        </w:rPr>
        <w:t>these many warning</w:t>
      </w:r>
      <w:r w:rsidR="00E11ECD">
        <w:rPr>
          <w:rFonts w:eastAsia="Arial Unicode MS"/>
          <w:i/>
          <w:sz w:val="30"/>
          <w:szCs w:val="30"/>
        </w:rPr>
        <w:t>s</w:t>
      </w:r>
      <w:r w:rsidR="001F0AF8">
        <w:rPr>
          <w:rFonts w:eastAsia="Arial Unicode MS"/>
          <w:i/>
          <w:sz w:val="30"/>
          <w:szCs w:val="30"/>
        </w:rPr>
        <w:t>, glaring violations of the rules still continue.  This case was enrolled for hearing at the May session of the Supreme Court.  That roll was first published on the 22</w:t>
      </w:r>
      <w:r w:rsidR="001F0AF8" w:rsidRPr="001F0AF8">
        <w:rPr>
          <w:rFonts w:eastAsia="Arial Unicode MS"/>
          <w:i/>
          <w:sz w:val="30"/>
          <w:szCs w:val="30"/>
          <w:vertAlign w:val="superscript"/>
        </w:rPr>
        <w:t>nd</w:t>
      </w:r>
      <w:r w:rsidR="001F0AF8">
        <w:rPr>
          <w:rFonts w:eastAsia="Arial Unicode MS"/>
          <w:i/>
          <w:sz w:val="30"/>
          <w:szCs w:val="30"/>
        </w:rPr>
        <w:t xml:space="preserve"> March 2013</w:t>
      </w:r>
      <w:r>
        <w:rPr>
          <w:rFonts w:eastAsia="Arial Unicode MS"/>
          <w:i/>
          <w:sz w:val="30"/>
          <w:szCs w:val="30"/>
        </w:rPr>
        <w:t>”.</w:t>
      </w:r>
    </w:p>
    <w:p w:rsidR="00CE2692" w:rsidRDefault="00CE2692" w:rsidP="00B04468">
      <w:pPr>
        <w:spacing w:line="480" w:lineRule="auto"/>
        <w:jc w:val="both"/>
        <w:rPr>
          <w:rFonts w:eastAsia="Arial Unicode MS"/>
          <w:i/>
          <w:sz w:val="30"/>
          <w:szCs w:val="30"/>
        </w:rPr>
      </w:pPr>
    </w:p>
    <w:p w:rsidR="00CE2692" w:rsidRDefault="00E11ECD" w:rsidP="00E11ECD">
      <w:pPr>
        <w:spacing w:line="480" w:lineRule="auto"/>
        <w:ind w:left="720" w:hanging="720"/>
        <w:jc w:val="both"/>
        <w:rPr>
          <w:rFonts w:eastAsia="Arial Unicode MS"/>
          <w:sz w:val="30"/>
          <w:szCs w:val="30"/>
        </w:rPr>
      </w:pPr>
      <w:r>
        <w:rPr>
          <w:rFonts w:eastAsia="Arial Unicode MS"/>
          <w:sz w:val="30"/>
          <w:szCs w:val="30"/>
        </w:rPr>
        <w:t>[10]</w:t>
      </w:r>
      <w:r>
        <w:rPr>
          <w:rFonts w:eastAsia="Arial Unicode MS"/>
          <w:sz w:val="30"/>
          <w:szCs w:val="30"/>
        </w:rPr>
        <w:tab/>
      </w:r>
      <w:r w:rsidR="00CE2692">
        <w:rPr>
          <w:rFonts w:eastAsia="Arial Unicode MS"/>
          <w:sz w:val="30"/>
          <w:szCs w:val="30"/>
        </w:rPr>
        <w:t>Legal practitioners have th</w:t>
      </w:r>
      <w:r w:rsidR="00373F85">
        <w:rPr>
          <w:rFonts w:eastAsia="Arial Unicode MS"/>
          <w:sz w:val="30"/>
          <w:szCs w:val="30"/>
        </w:rPr>
        <w:t>u</w:t>
      </w:r>
      <w:r w:rsidR="00CE2692">
        <w:rPr>
          <w:rFonts w:eastAsia="Arial Unicode MS"/>
          <w:sz w:val="30"/>
          <w:szCs w:val="30"/>
        </w:rPr>
        <w:t>s sufficiently been warned.  Some might argue that it is difficult to take a</w:t>
      </w:r>
      <w:r>
        <w:rPr>
          <w:rFonts w:eastAsia="Arial Unicode MS"/>
          <w:sz w:val="30"/>
          <w:szCs w:val="30"/>
        </w:rPr>
        <w:t>n</w:t>
      </w:r>
      <w:r w:rsidR="00CE2692">
        <w:rPr>
          <w:rFonts w:eastAsia="Arial Unicode MS"/>
          <w:sz w:val="30"/>
          <w:szCs w:val="30"/>
        </w:rPr>
        <w:t xml:space="preserve"> unwilling horse to drink.  But I venture to say that the </w:t>
      </w:r>
      <w:r>
        <w:rPr>
          <w:rFonts w:eastAsia="Arial Unicode MS"/>
          <w:sz w:val="30"/>
          <w:szCs w:val="30"/>
        </w:rPr>
        <w:t>c</w:t>
      </w:r>
      <w:r w:rsidR="00CE2692">
        <w:rPr>
          <w:rFonts w:eastAsia="Arial Unicode MS"/>
          <w:sz w:val="30"/>
          <w:szCs w:val="30"/>
        </w:rPr>
        <w:t xml:space="preserve">ourts must stand firm in </w:t>
      </w:r>
      <w:r w:rsidR="00EA0A5A">
        <w:rPr>
          <w:rFonts w:eastAsia="Arial Unicode MS"/>
          <w:sz w:val="30"/>
          <w:szCs w:val="30"/>
        </w:rPr>
        <w:t>en</w:t>
      </w:r>
      <w:r w:rsidR="00CE2692">
        <w:rPr>
          <w:rFonts w:eastAsia="Arial Unicode MS"/>
          <w:sz w:val="30"/>
          <w:szCs w:val="30"/>
        </w:rPr>
        <w:t xml:space="preserve">forcing </w:t>
      </w:r>
      <w:r w:rsidR="00455EFC">
        <w:rPr>
          <w:rFonts w:eastAsia="Arial Unicode MS"/>
          <w:sz w:val="30"/>
          <w:szCs w:val="30"/>
        </w:rPr>
        <w:lastRenderedPageBreak/>
        <w:t>compliance</w:t>
      </w:r>
      <w:r w:rsidR="00CE2692">
        <w:rPr>
          <w:rFonts w:eastAsia="Arial Unicode MS"/>
          <w:sz w:val="30"/>
          <w:szCs w:val="30"/>
        </w:rPr>
        <w:t xml:space="preserve"> with the Rules </w:t>
      </w:r>
      <w:r>
        <w:rPr>
          <w:rFonts w:eastAsia="Arial Unicode MS"/>
          <w:sz w:val="30"/>
          <w:szCs w:val="30"/>
        </w:rPr>
        <w:t xml:space="preserve">of court </w:t>
      </w:r>
      <w:r w:rsidR="00CE2692">
        <w:rPr>
          <w:rFonts w:eastAsia="Arial Unicode MS"/>
          <w:sz w:val="30"/>
          <w:szCs w:val="30"/>
        </w:rPr>
        <w:t xml:space="preserve">in the </w:t>
      </w:r>
      <w:r w:rsidR="00373F85">
        <w:rPr>
          <w:rFonts w:eastAsia="Arial Unicode MS"/>
          <w:sz w:val="30"/>
          <w:szCs w:val="30"/>
        </w:rPr>
        <w:t>in</w:t>
      </w:r>
      <w:r w:rsidR="00CE2692">
        <w:rPr>
          <w:rFonts w:eastAsia="Arial Unicode MS"/>
          <w:sz w:val="30"/>
          <w:szCs w:val="30"/>
        </w:rPr>
        <w:t xml:space="preserve">terests of justice to all.  Failure to comply with the Rules would lead to chaos and anarchy.  It is the fundamental function of the courts to prevent all of these </w:t>
      </w:r>
      <w:proofErr w:type="spellStart"/>
      <w:r w:rsidR="00CE2692">
        <w:rPr>
          <w:rFonts w:eastAsia="Arial Unicode MS"/>
          <w:sz w:val="30"/>
          <w:szCs w:val="30"/>
        </w:rPr>
        <w:t>unsavoury</w:t>
      </w:r>
      <w:proofErr w:type="spellEnd"/>
      <w:r w:rsidR="00CE2692">
        <w:rPr>
          <w:rFonts w:eastAsia="Arial Unicode MS"/>
          <w:sz w:val="30"/>
          <w:szCs w:val="30"/>
        </w:rPr>
        <w:t xml:space="preserve"> phenomena</w:t>
      </w:r>
      <w:r w:rsidR="00373F85">
        <w:rPr>
          <w:rFonts w:eastAsia="Arial Unicode MS"/>
          <w:sz w:val="30"/>
          <w:szCs w:val="30"/>
        </w:rPr>
        <w:t>.</w:t>
      </w:r>
    </w:p>
    <w:p w:rsidR="00302162" w:rsidRDefault="00302162" w:rsidP="00E11ECD">
      <w:pPr>
        <w:spacing w:line="480" w:lineRule="auto"/>
        <w:ind w:left="720" w:hanging="720"/>
        <w:jc w:val="both"/>
        <w:rPr>
          <w:rFonts w:eastAsia="Arial Unicode MS"/>
          <w:sz w:val="30"/>
          <w:szCs w:val="30"/>
        </w:rPr>
      </w:pPr>
    </w:p>
    <w:p w:rsidR="00302162" w:rsidRDefault="00CE2692" w:rsidP="00B12D69">
      <w:pPr>
        <w:spacing w:line="480" w:lineRule="auto"/>
        <w:ind w:left="720" w:hanging="720"/>
        <w:jc w:val="both"/>
        <w:rPr>
          <w:rFonts w:eastAsia="Arial Unicode MS"/>
          <w:sz w:val="30"/>
          <w:szCs w:val="30"/>
        </w:rPr>
      </w:pPr>
      <w:r>
        <w:rPr>
          <w:rFonts w:eastAsia="Arial Unicode MS"/>
          <w:sz w:val="30"/>
          <w:szCs w:val="30"/>
        </w:rPr>
        <w:t>[</w:t>
      </w:r>
      <w:r w:rsidR="00302162">
        <w:rPr>
          <w:rFonts w:eastAsia="Arial Unicode MS"/>
          <w:sz w:val="30"/>
          <w:szCs w:val="30"/>
        </w:rPr>
        <w:t>11</w:t>
      </w:r>
      <w:r>
        <w:rPr>
          <w:rFonts w:eastAsia="Arial Unicode MS"/>
          <w:sz w:val="30"/>
          <w:szCs w:val="30"/>
        </w:rPr>
        <w:t>]</w:t>
      </w:r>
      <w:r>
        <w:rPr>
          <w:rFonts w:eastAsia="Arial Unicode MS"/>
          <w:sz w:val="30"/>
          <w:szCs w:val="30"/>
        </w:rPr>
        <w:tab/>
        <w:t>Fin</w:t>
      </w:r>
      <w:r w:rsidR="00B12D69">
        <w:rPr>
          <w:rFonts w:eastAsia="Arial Unicode MS"/>
          <w:sz w:val="30"/>
          <w:szCs w:val="30"/>
        </w:rPr>
        <w:t xml:space="preserve">ally, it is a matter of grave concern to this Court to observe that it is not the first time the defendant has flagrantly flouted the rules of Court with impunity.  The defendant was respondent in the case of </w:t>
      </w:r>
      <w:r w:rsidR="00B12D69">
        <w:rPr>
          <w:rFonts w:eastAsia="Arial Unicode MS"/>
          <w:b/>
          <w:sz w:val="30"/>
          <w:szCs w:val="30"/>
          <w:u w:val="single"/>
        </w:rPr>
        <w:t xml:space="preserve">Silence </w:t>
      </w:r>
      <w:proofErr w:type="spellStart"/>
      <w:r w:rsidR="00B12D69">
        <w:rPr>
          <w:rFonts w:eastAsia="Arial Unicode MS"/>
          <w:b/>
          <w:sz w:val="30"/>
          <w:szCs w:val="30"/>
          <w:u w:val="single"/>
        </w:rPr>
        <w:t>Gamedze</w:t>
      </w:r>
      <w:proofErr w:type="spellEnd"/>
      <w:r w:rsidR="00B12D69">
        <w:rPr>
          <w:rFonts w:eastAsia="Arial Unicode MS"/>
          <w:b/>
          <w:sz w:val="30"/>
          <w:szCs w:val="30"/>
          <w:u w:val="single"/>
        </w:rPr>
        <w:t xml:space="preserve"> and Others (supra)</w:t>
      </w:r>
      <w:r w:rsidR="00B12D69" w:rsidRPr="00B12D69">
        <w:rPr>
          <w:rFonts w:eastAsia="Arial Unicode MS"/>
          <w:sz w:val="30"/>
          <w:szCs w:val="30"/>
        </w:rPr>
        <w:t>.</w:t>
      </w:r>
      <w:r w:rsidR="00B12D69">
        <w:rPr>
          <w:rFonts w:eastAsia="Arial Unicode MS"/>
          <w:sz w:val="30"/>
          <w:szCs w:val="30"/>
        </w:rPr>
        <w:t xml:space="preserve">  On that occasion this Court awarded costs against the defendant on the scale as between attorney and client.  </w:t>
      </w:r>
      <w:r w:rsidR="00302162">
        <w:rPr>
          <w:rFonts w:eastAsia="Arial Unicode MS"/>
          <w:sz w:val="30"/>
          <w:szCs w:val="30"/>
        </w:rPr>
        <w:t xml:space="preserve"> </w:t>
      </w:r>
      <w:r w:rsidR="00B12D69">
        <w:rPr>
          <w:rFonts w:eastAsia="Arial Unicode MS"/>
          <w:sz w:val="30"/>
          <w:szCs w:val="30"/>
        </w:rPr>
        <w:t xml:space="preserve">It is evident, therefore, that the defendant is a repeat offender.  Accordingly, it is this Court’s hope that the </w:t>
      </w:r>
      <w:r w:rsidR="0082146E">
        <w:rPr>
          <w:rFonts w:eastAsia="Arial Unicode MS"/>
          <w:sz w:val="30"/>
          <w:szCs w:val="30"/>
        </w:rPr>
        <w:t xml:space="preserve">punitive order set out below will finally drive the message home that the </w:t>
      </w:r>
      <w:r w:rsidR="00B12D69">
        <w:rPr>
          <w:rFonts w:eastAsia="Arial Unicode MS"/>
          <w:sz w:val="30"/>
          <w:szCs w:val="30"/>
        </w:rPr>
        <w:t xml:space="preserve">defendant cannot get </w:t>
      </w:r>
      <w:r w:rsidR="0082146E">
        <w:rPr>
          <w:rFonts w:eastAsia="Arial Unicode MS"/>
          <w:sz w:val="30"/>
          <w:szCs w:val="30"/>
        </w:rPr>
        <w:t>away with repeated flagrant disregard of the Rules of Court, amounting, as they evidently do</w:t>
      </w:r>
      <w:r w:rsidR="00373F85">
        <w:rPr>
          <w:rFonts w:eastAsia="Arial Unicode MS"/>
          <w:sz w:val="30"/>
          <w:szCs w:val="30"/>
        </w:rPr>
        <w:t>,</w:t>
      </w:r>
      <w:r w:rsidR="0082146E">
        <w:rPr>
          <w:rFonts w:eastAsia="Arial Unicode MS"/>
          <w:sz w:val="30"/>
          <w:szCs w:val="30"/>
        </w:rPr>
        <w:t xml:space="preserve"> to abuse of </w:t>
      </w:r>
      <w:r w:rsidR="00087DB3">
        <w:rPr>
          <w:rFonts w:eastAsia="Arial Unicode MS"/>
          <w:sz w:val="30"/>
          <w:szCs w:val="30"/>
        </w:rPr>
        <w:t>c</w:t>
      </w:r>
      <w:r w:rsidR="0082146E">
        <w:rPr>
          <w:rFonts w:eastAsia="Arial Unicode MS"/>
          <w:sz w:val="30"/>
          <w:szCs w:val="30"/>
        </w:rPr>
        <w:t xml:space="preserve">ourt process.  </w:t>
      </w:r>
    </w:p>
    <w:p w:rsidR="00302162" w:rsidRDefault="00302162" w:rsidP="00B12D69">
      <w:pPr>
        <w:spacing w:line="480" w:lineRule="auto"/>
        <w:ind w:left="720" w:hanging="720"/>
        <w:jc w:val="both"/>
        <w:rPr>
          <w:rFonts w:eastAsia="Arial Unicode MS"/>
          <w:sz w:val="30"/>
          <w:szCs w:val="30"/>
        </w:rPr>
      </w:pPr>
    </w:p>
    <w:p w:rsidR="0082146E" w:rsidRDefault="00302162" w:rsidP="00B12D69">
      <w:pPr>
        <w:spacing w:line="480" w:lineRule="auto"/>
        <w:ind w:left="720" w:hanging="720"/>
        <w:jc w:val="both"/>
        <w:rPr>
          <w:rFonts w:eastAsia="Arial Unicode MS"/>
          <w:sz w:val="30"/>
          <w:szCs w:val="30"/>
        </w:rPr>
      </w:pPr>
      <w:r>
        <w:rPr>
          <w:rFonts w:eastAsia="Arial Unicode MS"/>
          <w:sz w:val="30"/>
          <w:szCs w:val="30"/>
        </w:rPr>
        <w:t>[12]</w:t>
      </w:r>
      <w:r>
        <w:rPr>
          <w:rFonts w:eastAsia="Arial Unicode MS"/>
          <w:sz w:val="30"/>
          <w:szCs w:val="30"/>
        </w:rPr>
        <w:tab/>
      </w:r>
      <w:r w:rsidR="0082146E">
        <w:rPr>
          <w:rFonts w:eastAsia="Arial Unicode MS"/>
          <w:sz w:val="30"/>
          <w:szCs w:val="30"/>
        </w:rPr>
        <w:t>Of course</w:t>
      </w:r>
      <w:r w:rsidR="00B330D6">
        <w:rPr>
          <w:rFonts w:eastAsia="Arial Unicode MS"/>
          <w:sz w:val="30"/>
          <w:szCs w:val="30"/>
        </w:rPr>
        <w:t>,</w:t>
      </w:r>
      <w:r w:rsidR="0082146E">
        <w:rPr>
          <w:rFonts w:eastAsia="Arial Unicode MS"/>
          <w:sz w:val="30"/>
          <w:szCs w:val="30"/>
        </w:rPr>
        <w:t xml:space="preserve"> </w:t>
      </w:r>
      <w:r w:rsidR="006C0633">
        <w:rPr>
          <w:rFonts w:eastAsia="Arial Unicode MS"/>
          <w:sz w:val="30"/>
          <w:szCs w:val="30"/>
        </w:rPr>
        <w:t xml:space="preserve">I should at this stage draw attention to the fact that I duly take </w:t>
      </w:r>
      <w:r w:rsidR="0082146E">
        <w:rPr>
          <w:rFonts w:eastAsia="Arial Unicode MS"/>
          <w:sz w:val="30"/>
          <w:szCs w:val="30"/>
        </w:rPr>
        <w:t xml:space="preserve">into account the defendant’s passionate plea for mercy </w:t>
      </w:r>
      <w:r w:rsidR="00373F85">
        <w:rPr>
          <w:rFonts w:eastAsia="Arial Unicode MS"/>
          <w:sz w:val="30"/>
          <w:szCs w:val="30"/>
        </w:rPr>
        <w:lastRenderedPageBreak/>
        <w:t xml:space="preserve">made </w:t>
      </w:r>
      <w:r w:rsidR="0082146E">
        <w:rPr>
          <w:rFonts w:eastAsia="Arial Unicode MS"/>
          <w:sz w:val="30"/>
          <w:szCs w:val="30"/>
        </w:rPr>
        <w:t xml:space="preserve">at the hearing before this Court.  </w:t>
      </w:r>
      <w:proofErr w:type="spellStart"/>
      <w:r w:rsidR="0082146E" w:rsidRPr="000C2C79">
        <w:rPr>
          <w:rFonts w:eastAsia="Arial Unicode MS"/>
          <w:sz w:val="30"/>
          <w:szCs w:val="30"/>
          <w:u w:val="single"/>
        </w:rPr>
        <w:t>Mr</w:t>
      </w:r>
      <w:proofErr w:type="spellEnd"/>
      <w:r w:rsidR="0082146E" w:rsidRPr="000C2C79">
        <w:rPr>
          <w:rFonts w:eastAsia="Arial Unicode MS"/>
          <w:sz w:val="30"/>
          <w:szCs w:val="30"/>
          <w:u w:val="single"/>
        </w:rPr>
        <w:t xml:space="preserve"> Thabo</w:t>
      </w:r>
      <w:r w:rsidR="0027474A" w:rsidRPr="000C2C79">
        <w:rPr>
          <w:rFonts w:eastAsia="Arial Unicode MS"/>
          <w:sz w:val="30"/>
          <w:szCs w:val="30"/>
          <w:u w:val="single"/>
        </w:rPr>
        <w:t xml:space="preserve"> </w:t>
      </w:r>
      <w:proofErr w:type="spellStart"/>
      <w:r w:rsidR="0027474A" w:rsidRPr="000C2C79">
        <w:rPr>
          <w:rFonts w:eastAsia="Arial Unicode MS"/>
          <w:sz w:val="30"/>
          <w:szCs w:val="30"/>
          <w:u w:val="single"/>
        </w:rPr>
        <w:t>Fakudze</w:t>
      </w:r>
      <w:proofErr w:type="spellEnd"/>
      <w:r w:rsidR="0082146E">
        <w:rPr>
          <w:rFonts w:eastAsia="Arial Unicode MS"/>
          <w:sz w:val="30"/>
          <w:szCs w:val="30"/>
        </w:rPr>
        <w:t xml:space="preserve"> who appeared in person did say that the defendant will never repeat its mistakes in the future.  The enormity of the defendant’s folly, however, calls for censure as proposed in the order set out below.</w:t>
      </w:r>
    </w:p>
    <w:p w:rsidR="0082146E" w:rsidRDefault="0082146E" w:rsidP="00B12D69">
      <w:pPr>
        <w:spacing w:line="480" w:lineRule="auto"/>
        <w:ind w:left="720" w:hanging="720"/>
        <w:jc w:val="both"/>
        <w:rPr>
          <w:rFonts w:eastAsia="Arial Unicode MS"/>
          <w:sz w:val="30"/>
          <w:szCs w:val="30"/>
        </w:rPr>
      </w:pPr>
    </w:p>
    <w:p w:rsidR="00373F85" w:rsidRDefault="0027474A" w:rsidP="00B12D69">
      <w:pPr>
        <w:spacing w:line="480" w:lineRule="auto"/>
        <w:ind w:left="720" w:hanging="720"/>
        <w:jc w:val="both"/>
        <w:rPr>
          <w:rFonts w:eastAsia="Arial Unicode MS"/>
          <w:sz w:val="30"/>
          <w:szCs w:val="30"/>
        </w:rPr>
      </w:pPr>
      <w:r>
        <w:rPr>
          <w:rFonts w:eastAsia="Arial Unicode MS"/>
          <w:sz w:val="30"/>
          <w:szCs w:val="30"/>
        </w:rPr>
        <w:t>[</w:t>
      </w:r>
      <w:r w:rsidR="00373F85">
        <w:rPr>
          <w:rFonts w:eastAsia="Arial Unicode MS"/>
          <w:sz w:val="30"/>
          <w:szCs w:val="30"/>
        </w:rPr>
        <w:t>1</w:t>
      </w:r>
      <w:r w:rsidR="00DD1E6F">
        <w:rPr>
          <w:rFonts w:eastAsia="Arial Unicode MS"/>
          <w:sz w:val="30"/>
          <w:szCs w:val="30"/>
        </w:rPr>
        <w:t>3</w:t>
      </w:r>
      <w:r>
        <w:rPr>
          <w:rFonts w:eastAsia="Arial Unicode MS"/>
          <w:sz w:val="30"/>
          <w:szCs w:val="30"/>
        </w:rPr>
        <w:t>]</w:t>
      </w:r>
      <w:r w:rsidR="00373F85">
        <w:rPr>
          <w:rFonts w:eastAsia="Arial Unicode MS"/>
          <w:sz w:val="30"/>
          <w:szCs w:val="30"/>
        </w:rPr>
        <w:tab/>
        <w:t xml:space="preserve">It follows from these considerations that the “appeal” is </w:t>
      </w:r>
      <w:r w:rsidR="00633DAC">
        <w:rPr>
          <w:rFonts w:eastAsia="Arial Unicode MS"/>
          <w:sz w:val="30"/>
          <w:szCs w:val="30"/>
        </w:rPr>
        <w:t>irregular</w:t>
      </w:r>
      <w:r w:rsidR="00373F85">
        <w:rPr>
          <w:rFonts w:eastAsia="Arial Unicode MS"/>
          <w:sz w:val="30"/>
          <w:szCs w:val="30"/>
        </w:rPr>
        <w:t xml:space="preserve"> and falls to be dismissed.  The following order is hereby made:-</w:t>
      </w:r>
    </w:p>
    <w:p w:rsidR="00373F85" w:rsidRDefault="00373F85" w:rsidP="00B12D69">
      <w:pPr>
        <w:spacing w:line="480" w:lineRule="auto"/>
        <w:ind w:left="720" w:hanging="720"/>
        <w:jc w:val="both"/>
        <w:rPr>
          <w:rFonts w:eastAsia="Arial Unicode MS"/>
          <w:sz w:val="30"/>
          <w:szCs w:val="30"/>
        </w:rPr>
      </w:pPr>
    </w:p>
    <w:p w:rsidR="00373F85" w:rsidRDefault="00373F85" w:rsidP="00633DAC">
      <w:pPr>
        <w:pStyle w:val="ListParagraph"/>
        <w:numPr>
          <w:ilvl w:val="0"/>
          <w:numId w:val="4"/>
        </w:numPr>
        <w:spacing w:line="480" w:lineRule="auto"/>
        <w:ind w:left="1260" w:hanging="540"/>
        <w:jc w:val="both"/>
        <w:rPr>
          <w:rFonts w:eastAsia="Arial Unicode MS"/>
          <w:sz w:val="30"/>
          <w:szCs w:val="30"/>
        </w:rPr>
      </w:pPr>
      <w:r>
        <w:rPr>
          <w:rFonts w:eastAsia="Arial Unicode MS"/>
          <w:sz w:val="30"/>
          <w:szCs w:val="30"/>
        </w:rPr>
        <w:t xml:space="preserve"> The appeal is dismissed as being irregular.</w:t>
      </w:r>
    </w:p>
    <w:p w:rsidR="00633DAC" w:rsidRDefault="00373F85" w:rsidP="00633DAC">
      <w:pPr>
        <w:pStyle w:val="ListParagraph"/>
        <w:numPr>
          <w:ilvl w:val="0"/>
          <w:numId w:val="4"/>
        </w:numPr>
        <w:spacing w:line="480" w:lineRule="auto"/>
        <w:ind w:left="1350" w:hanging="630"/>
        <w:jc w:val="both"/>
        <w:rPr>
          <w:rFonts w:eastAsia="Arial Unicode MS"/>
          <w:sz w:val="30"/>
          <w:szCs w:val="30"/>
        </w:rPr>
      </w:pPr>
      <w:r>
        <w:rPr>
          <w:rFonts w:eastAsia="Arial Unicode MS"/>
          <w:sz w:val="30"/>
          <w:szCs w:val="30"/>
        </w:rPr>
        <w:t xml:space="preserve">The Appellant is ordered to pay costs on the punitive scale as between attorney and own </w:t>
      </w:r>
      <w:r w:rsidR="00633DAC">
        <w:rPr>
          <w:rFonts w:eastAsia="Arial Unicode MS"/>
          <w:sz w:val="30"/>
          <w:szCs w:val="30"/>
        </w:rPr>
        <w:t>client.</w:t>
      </w:r>
    </w:p>
    <w:p w:rsidR="00633DAC" w:rsidRPr="00633DAC" w:rsidRDefault="00633DAC" w:rsidP="00633DAC">
      <w:pPr>
        <w:pStyle w:val="ListParagraph"/>
        <w:numPr>
          <w:ilvl w:val="0"/>
          <w:numId w:val="4"/>
        </w:numPr>
        <w:spacing w:line="480" w:lineRule="auto"/>
        <w:ind w:left="1350" w:hanging="630"/>
        <w:jc w:val="both"/>
        <w:rPr>
          <w:rFonts w:eastAsia="Arial Unicode MS"/>
          <w:sz w:val="30"/>
          <w:szCs w:val="30"/>
        </w:rPr>
      </w:pPr>
      <w:r>
        <w:rPr>
          <w:rFonts w:eastAsia="Arial Unicode MS"/>
          <w:sz w:val="30"/>
          <w:szCs w:val="30"/>
        </w:rPr>
        <w:t xml:space="preserve">Such costs shall be paid by Attorney Thabo </w:t>
      </w:r>
      <w:proofErr w:type="spellStart"/>
      <w:r>
        <w:rPr>
          <w:rFonts w:eastAsia="Arial Unicode MS"/>
          <w:sz w:val="30"/>
          <w:szCs w:val="30"/>
        </w:rPr>
        <w:t>Fakudze</w:t>
      </w:r>
      <w:proofErr w:type="spellEnd"/>
      <w:r>
        <w:rPr>
          <w:rFonts w:eastAsia="Arial Unicode MS"/>
          <w:sz w:val="30"/>
          <w:szCs w:val="30"/>
        </w:rPr>
        <w:t xml:space="preserve"> </w:t>
      </w:r>
      <w:r>
        <w:rPr>
          <w:rFonts w:eastAsia="Arial Unicode MS"/>
          <w:i/>
          <w:sz w:val="30"/>
          <w:szCs w:val="30"/>
        </w:rPr>
        <w:t xml:space="preserve">de </w:t>
      </w:r>
      <w:proofErr w:type="spellStart"/>
      <w:r>
        <w:rPr>
          <w:rFonts w:eastAsia="Arial Unicode MS"/>
          <w:i/>
          <w:sz w:val="30"/>
          <w:szCs w:val="30"/>
        </w:rPr>
        <w:t>bonis</w:t>
      </w:r>
      <w:proofErr w:type="spellEnd"/>
      <w:r>
        <w:rPr>
          <w:rFonts w:eastAsia="Arial Unicode MS"/>
          <w:i/>
          <w:sz w:val="30"/>
          <w:szCs w:val="30"/>
        </w:rPr>
        <w:t xml:space="preserve"> </w:t>
      </w:r>
      <w:proofErr w:type="spellStart"/>
      <w:r>
        <w:rPr>
          <w:rFonts w:eastAsia="Arial Unicode MS"/>
          <w:i/>
          <w:sz w:val="30"/>
          <w:szCs w:val="30"/>
        </w:rPr>
        <w:t>propriis</w:t>
      </w:r>
      <w:proofErr w:type="spellEnd"/>
      <w:r>
        <w:rPr>
          <w:rFonts w:eastAsia="Arial Unicode MS"/>
          <w:i/>
          <w:sz w:val="30"/>
          <w:szCs w:val="30"/>
        </w:rPr>
        <w:t>.</w:t>
      </w:r>
    </w:p>
    <w:p w:rsidR="00DD1E6F" w:rsidRDefault="00DD1E6F" w:rsidP="00DD1E6F">
      <w:pPr>
        <w:spacing w:line="360" w:lineRule="auto"/>
        <w:jc w:val="both"/>
        <w:rPr>
          <w:rFonts w:eastAsia="Arial Unicode MS"/>
          <w:b/>
          <w:sz w:val="30"/>
          <w:szCs w:val="30"/>
        </w:rPr>
      </w:pPr>
    </w:p>
    <w:p w:rsidR="00D3640E" w:rsidRDefault="00D3640E" w:rsidP="00DA1138">
      <w:pPr>
        <w:spacing w:line="360" w:lineRule="auto"/>
        <w:ind w:left="720" w:hanging="720"/>
        <w:jc w:val="both"/>
        <w:rPr>
          <w:rFonts w:eastAsia="Arial Unicode MS"/>
          <w:b/>
          <w:sz w:val="30"/>
          <w:szCs w:val="30"/>
        </w:rPr>
      </w:pPr>
    </w:p>
    <w:p w:rsidR="00D3640E" w:rsidRDefault="00D3640E" w:rsidP="00DA1138">
      <w:pPr>
        <w:spacing w:line="360" w:lineRule="auto"/>
        <w:ind w:left="720" w:hanging="720"/>
        <w:jc w:val="both"/>
        <w:rPr>
          <w:rFonts w:eastAsia="Arial Unicode MS"/>
          <w:b/>
          <w:sz w:val="30"/>
          <w:szCs w:val="30"/>
        </w:rPr>
      </w:pPr>
    </w:p>
    <w:p w:rsidR="00DA1138" w:rsidRDefault="00DA1138" w:rsidP="00DA1138">
      <w:pPr>
        <w:spacing w:line="360" w:lineRule="auto"/>
        <w:ind w:left="720" w:hanging="720"/>
        <w:jc w:val="both"/>
        <w:rPr>
          <w:rFonts w:eastAsia="Arial Unicode MS"/>
          <w:b/>
          <w:sz w:val="30"/>
          <w:szCs w:val="30"/>
        </w:rPr>
      </w:pP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t>___________________________</w:t>
      </w:r>
    </w:p>
    <w:p w:rsidR="00DA1138" w:rsidRDefault="00DA1138" w:rsidP="00DA1138">
      <w:pPr>
        <w:spacing w:line="360" w:lineRule="auto"/>
        <w:ind w:left="720" w:hanging="720"/>
        <w:jc w:val="both"/>
        <w:rPr>
          <w:rFonts w:eastAsia="Arial Unicode MS"/>
          <w:b/>
          <w:sz w:val="30"/>
          <w:szCs w:val="30"/>
        </w:rPr>
      </w:pP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t>M.M. RAMODIBEDI</w:t>
      </w:r>
    </w:p>
    <w:p w:rsidR="00DA1138" w:rsidRPr="00C3028C" w:rsidRDefault="00DA1138" w:rsidP="00DA1138">
      <w:pPr>
        <w:spacing w:line="360" w:lineRule="auto"/>
        <w:ind w:left="720" w:hanging="720"/>
        <w:jc w:val="both"/>
        <w:rPr>
          <w:rFonts w:eastAsia="Arial Unicode MS"/>
          <w:b/>
          <w:sz w:val="30"/>
          <w:szCs w:val="30"/>
        </w:rPr>
      </w:pP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t>CHIEF JUSTICE</w:t>
      </w:r>
    </w:p>
    <w:p w:rsidR="00633DAC" w:rsidRDefault="00633DAC" w:rsidP="00D3640E">
      <w:pPr>
        <w:spacing w:line="360" w:lineRule="auto"/>
        <w:jc w:val="both"/>
        <w:rPr>
          <w:rFonts w:eastAsia="Arial Unicode MS"/>
          <w:b/>
          <w:sz w:val="30"/>
          <w:szCs w:val="30"/>
        </w:rPr>
      </w:pPr>
    </w:p>
    <w:p w:rsidR="00D3640E" w:rsidRDefault="00D3640E" w:rsidP="00DA1138">
      <w:pPr>
        <w:spacing w:line="360" w:lineRule="auto"/>
        <w:ind w:left="720" w:hanging="720"/>
        <w:jc w:val="both"/>
        <w:rPr>
          <w:rFonts w:eastAsia="Arial Unicode MS"/>
          <w:b/>
          <w:sz w:val="30"/>
          <w:szCs w:val="30"/>
        </w:rPr>
      </w:pPr>
    </w:p>
    <w:p w:rsidR="00D3640E" w:rsidRDefault="00D3640E" w:rsidP="00DA1138">
      <w:pPr>
        <w:spacing w:line="360" w:lineRule="auto"/>
        <w:ind w:left="720" w:hanging="720"/>
        <w:jc w:val="both"/>
        <w:rPr>
          <w:rFonts w:eastAsia="Arial Unicode MS"/>
          <w:b/>
          <w:sz w:val="30"/>
          <w:szCs w:val="30"/>
        </w:rPr>
      </w:pPr>
    </w:p>
    <w:p w:rsidR="00D3640E" w:rsidRDefault="00D3640E" w:rsidP="00DA1138">
      <w:pPr>
        <w:spacing w:line="360" w:lineRule="auto"/>
        <w:ind w:left="720" w:hanging="720"/>
        <w:jc w:val="both"/>
        <w:rPr>
          <w:rFonts w:eastAsia="Arial Unicode MS"/>
          <w:b/>
          <w:sz w:val="30"/>
          <w:szCs w:val="30"/>
        </w:rPr>
      </w:pPr>
    </w:p>
    <w:p w:rsidR="00DA1138" w:rsidRPr="00775896" w:rsidRDefault="00DA1138" w:rsidP="00DA1138">
      <w:pPr>
        <w:spacing w:line="360" w:lineRule="auto"/>
        <w:ind w:left="720" w:hanging="720"/>
        <w:jc w:val="both"/>
        <w:rPr>
          <w:rFonts w:eastAsia="Arial Unicode MS"/>
          <w:b/>
          <w:sz w:val="30"/>
          <w:szCs w:val="30"/>
        </w:rPr>
      </w:pPr>
      <w:r>
        <w:rPr>
          <w:rFonts w:eastAsia="Arial Unicode MS"/>
          <w:b/>
          <w:sz w:val="30"/>
          <w:szCs w:val="30"/>
        </w:rPr>
        <w:t>I agree</w:t>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softHyphen/>
      </w:r>
      <w:r>
        <w:rPr>
          <w:rFonts w:eastAsia="Arial Unicode MS"/>
          <w:b/>
          <w:sz w:val="30"/>
          <w:szCs w:val="30"/>
        </w:rPr>
        <w:softHyphen/>
      </w:r>
      <w:r>
        <w:rPr>
          <w:rFonts w:eastAsia="Arial Unicode MS"/>
          <w:b/>
          <w:sz w:val="30"/>
          <w:szCs w:val="30"/>
        </w:rPr>
        <w:softHyphen/>
      </w:r>
      <w:r>
        <w:rPr>
          <w:rFonts w:eastAsia="Arial Unicode MS"/>
          <w:b/>
          <w:sz w:val="30"/>
          <w:szCs w:val="30"/>
        </w:rPr>
        <w:softHyphen/>
      </w:r>
      <w:r>
        <w:rPr>
          <w:rFonts w:eastAsia="Arial Unicode MS"/>
          <w:b/>
          <w:sz w:val="30"/>
          <w:szCs w:val="30"/>
        </w:rPr>
        <w:softHyphen/>
      </w:r>
      <w:r>
        <w:rPr>
          <w:rFonts w:eastAsia="Arial Unicode MS"/>
          <w:b/>
          <w:sz w:val="30"/>
          <w:szCs w:val="30"/>
        </w:rPr>
        <w:softHyphen/>
        <w:t>____________________________</w:t>
      </w:r>
    </w:p>
    <w:p w:rsidR="00DA1138" w:rsidRDefault="00DA1138" w:rsidP="00DA1138">
      <w:pPr>
        <w:spacing w:line="360" w:lineRule="auto"/>
        <w:ind w:left="720" w:hanging="720"/>
        <w:jc w:val="both"/>
        <w:rPr>
          <w:rFonts w:eastAsia="Arial Unicode MS"/>
          <w:b/>
          <w:sz w:val="30"/>
          <w:szCs w:val="30"/>
        </w:rPr>
      </w:pP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r>
      <w:r w:rsidR="0082146E">
        <w:rPr>
          <w:rFonts w:eastAsia="Arial Unicode MS"/>
          <w:b/>
          <w:sz w:val="30"/>
          <w:szCs w:val="30"/>
        </w:rPr>
        <w:t xml:space="preserve">S.A. </w:t>
      </w:r>
      <w:r>
        <w:rPr>
          <w:rFonts w:eastAsia="Arial Unicode MS"/>
          <w:b/>
          <w:sz w:val="30"/>
          <w:szCs w:val="30"/>
        </w:rPr>
        <w:t>M</w:t>
      </w:r>
      <w:r w:rsidR="0082146E">
        <w:rPr>
          <w:rFonts w:eastAsia="Arial Unicode MS"/>
          <w:b/>
          <w:sz w:val="30"/>
          <w:szCs w:val="30"/>
        </w:rPr>
        <w:t>OORE</w:t>
      </w:r>
      <w:r>
        <w:rPr>
          <w:rFonts w:eastAsia="Arial Unicode MS"/>
          <w:b/>
          <w:sz w:val="30"/>
          <w:szCs w:val="30"/>
        </w:rPr>
        <w:t xml:space="preserve"> </w:t>
      </w:r>
    </w:p>
    <w:p w:rsidR="00DA1138" w:rsidRDefault="00DA1138" w:rsidP="00DA1138">
      <w:pPr>
        <w:spacing w:line="360" w:lineRule="auto"/>
        <w:ind w:left="720" w:hanging="720"/>
        <w:jc w:val="both"/>
        <w:rPr>
          <w:rFonts w:eastAsia="Arial Unicode MS"/>
          <w:b/>
          <w:sz w:val="30"/>
          <w:szCs w:val="30"/>
        </w:rPr>
      </w:pP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t>JUSTICE OF APPEAL</w:t>
      </w:r>
    </w:p>
    <w:p w:rsidR="00DA1138" w:rsidRDefault="00DA1138" w:rsidP="00DA1138">
      <w:pPr>
        <w:spacing w:line="360" w:lineRule="auto"/>
        <w:ind w:left="720" w:hanging="720"/>
        <w:jc w:val="both"/>
        <w:rPr>
          <w:rFonts w:eastAsia="Arial Unicode MS"/>
          <w:b/>
          <w:sz w:val="30"/>
          <w:szCs w:val="30"/>
        </w:rPr>
      </w:pPr>
    </w:p>
    <w:p w:rsidR="00DA1138" w:rsidRDefault="00DA1138" w:rsidP="00DA1138">
      <w:pPr>
        <w:spacing w:line="360" w:lineRule="auto"/>
        <w:jc w:val="both"/>
        <w:rPr>
          <w:rFonts w:eastAsia="Arial Unicode MS"/>
          <w:b/>
          <w:sz w:val="30"/>
          <w:szCs w:val="30"/>
        </w:rPr>
      </w:pPr>
    </w:p>
    <w:p w:rsidR="00D3640E" w:rsidRDefault="00D3640E" w:rsidP="00DA1138">
      <w:pPr>
        <w:spacing w:line="360" w:lineRule="auto"/>
        <w:jc w:val="both"/>
        <w:rPr>
          <w:rFonts w:eastAsia="Arial Unicode MS"/>
          <w:b/>
          <w:sz w:val="30"/>
          <w:szCs w:val="30"/>
        </w:rPr>
      </w:pPr>
    </w:p>
    <w:p w:rsidR="00DA1138" w:rsidRPr="00C3028C" w:rsidRDefault="00DA1138" w:rsidP="00DA1138">
      <w:pPr>
        <w:spacing w:line="360" w:lineRule="auto"/>
        <w:ind w:left="720" w:hanging="720"/>
        <w:jc w:val="both"/>
        <w:rPr>
          <w:rFonts w:eastAsia="Arial Unicode MS"/>
          <w:b/>
          <w:sz w:val="30"/>
          <w:szCs w:val="30"/>
        </w:rPr>
      </w:pPr>
      <w:r>
        <w:rPr>
          <w:rFonts w:eastAsia="Arial Unicode MS"/>
          <w:b/>
          <w:sz w:val="30"/>
          <w:szCs w:val="30"/>
        </w:rPr>
        <w:t>I agree</w:t>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softHyphen/>
      </w:r>
      <w:r>
        <w:rPr>
          <w:rFonts w:eastAsia="Arial Unicode MS"/>
          <w:b/>
          <w:sz w:val="30"/>
          <w:szCs w:val="30"/>
        </w:rPr>
        <w:softHyphen/>
      </w:r>
      <w:r>
        <w:rPr>
          <w:rFonts w:eastAsia="Arial Unicode MS"/>
          <w:b/>
          <w:sz w:val="30"/>
          <w:szCs w:val="30"/>
        </w:rPr>
        <w:softHyphen/>
      </w:r>
      <w:r>
        <w:rPr>
          <w:rFonts w:eastAsia="Arial Unicode MS"/>
          <w:b/>
          <w:sz w:val="30"/>
          <w:szCs w:val="30"/>
        </w:rPr>
        <w:softHyphen/>
      </w:r>
      <w:r>
        <w:rPr>
          <w:rFonts w:eastAsia="Arial Unicode MS"/>
          <w:b/>
          <w:sz w:val="30"/>
          <w:szCs w:val="30"/>
        </w:rPr>
        <w:softHyphen/>
      </w:r>
      <w:r>
        <w:rPr>
          <w:rFonts w:eastAsia="Arial Unicode MS"/>
          <w:b/>
          <w:sz w:val="30"/>
          <w:szCs w:val="30"/>
        </w:rPr>
        <w:softHyphen/>
      </w:r>
      <w:r>
        <w:rPr>
          <w:rFonts w:eastAsia="Arial Unicode MS"/>
          <w:b/>
          <w:sz w:val="30"/>
          <w:szCs w:val="30"/>
        </w:rPr>
        <w:softHyphen/>
      </w:r>
      <w:r>
        <w:rPr>
          <w:rFonts w:eastAsia="Arial Unicode MS"/>
          <w:b/>
          <w:sz w:val="30"/>
          <w:szCs w:val="30"/>
        </w:rPr>
        <w:softHyphen/>
      </w:r>
      <w:r>
        <w:rPr>
          <w:rFonts w:eastAsia="Arial Unicode MS"/>
          <w:b/>
          <w:sz w:val="30"/>
          <w:szCs w:val="30"/>
        </w:rPr>
        <w:softHyphen/>
      </w:r>
      <w:r>
        <w:rPr>
          <w:rFonts w:eastAsia="Arial Unicode MS"/>
          <w:b/>
          <w:sz w:val="30"/>
          <w:szCs w:val="30"/>
        </w:rPr>
        <w:softHyphen/>
      </w:r>
      <w:r>
        <w:rPr>
          <w:rFonts w:eastAsia="Arial Unicode MS"/>
          <w:b/>
          <w:sz w:val="30"/>
          <w:szCs w:val="30"/>
        </w:rPr>
        <w:softHyphen/>
      </w:r>
      <w:r>
        <w:rPr>
          <w:rFonts w:eastAsia="Arial Unicode MS"/>
          <w:b/>
          <w:sz w:val="30"/>
          <w:szCs w:val="30"/>
        </w:rPr>
        <w:softHyphen/>
        <w:t>____________________________</w:t>
      </w:r>
    </w:p>
    <w:p w:rsidR="00DA1138" w:rsidRDefault="00DA1138" w:rsidP="00DA1138">
      <w:pPr>
        <w:spacing w:line="360" w:lineRule="auto"/>
        <w:ind w:left="720" w:hanging="720"/>
        <w:jc w:val="both"/>
        <w:rPr>
          <w:rFonts w:eastAsia="Arial Unicode MS"/>
          <w:b/>
          <w:sz w:val="30"/>
          <w:szCs w:val="30"/>
        </w:rPr>
      </w:pP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r>
      <w:r w:rsidR="0082146E">
        <w:rPr>
          <w:rFonts w:eastAsia="Arial Unicode MS"/>
          <w:b/>
          <w:sz w:val="30"/>
          <w:szCs w:val="30"/>
        </w:rPr>
        <w:t>E</w:t>
      </w:r>
      <w:r>
        <w:rPr>
          <w:rFonts w:eastAsia="Arial Unicode MS"/>
          <w:b/>
          <w:sz w:val="30"/>
          <w:szCs w:val="30"/>
        </w:rPr>
        <w:t>.</w:t>
      </w:r>
      <w:r w:rsidR="0082146E">
        <w:rPr>
          <w:rFonts w:eastAsia="Arial Unicode MS"/>
          <w:b/>
          <w:sz w:val="30"/>
          <w:szCs w:val="30"/>
        </w:rPr>
        <w:t>A. OTA</w:t>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r>
      <w:r w:rsidR="00ED02AC">
        <w:rPr>
          <w:rFonts w:eastAsia="Arial Unicode MS"/>
          <w:b/>
          <w:sz w:val="30"/>
          <w:szCs w:val="30"/>
        </w:rPr>
        <w:tab/>
      </w:r>
      <w:r w:rsidR="00ED02AC">
        <w:rPr>
          <w:rFonts w:eastAsia="Arial Unicode MS"/>
          <w:b/>
          <w:sz w:val="30"/>
          <w:szCs w:val="30"/>
        </w:rPr>
        <w:tab/>
      </w:r>
      <w:r>
        <w:rPr>
          <w:rFonts w:eastAsia="Arial Unicode MS"/>
          <w:b/>
          <w:sz w:val="30"/>
          <w:szCs w:val="30"/>
        </w:rPr>
        <w:t>JUSTICE OF APPEAL</w:t>
      </w:r>
    </w:p>
    <w:p w:rsidR="00DA1138" w:rsidRDefault="00DA1138" w:rsidP="00DA1138">
      <w:pPr>
        <w:spacing w:line="360" w:lineRule="auto"/>
        <w:ind w:left="720" w:hanging="720"/>
        <w:jc w:val="both"/>
        <w:rPr>
          <w:rFonts w:eastAsia="Arial Unicode MS"/>
          <w:b/>
          <w:sz w:val="30"/>
          <w:szCs w:val="30"/>
        </w:rPr>
      </w:pPr>
    </w:p>
    <w:p w:rsidR="00DA1138" w:rsidRDefault="00DA1138" w:rsidP="00DA1138">
      <w:pPr>
        <w:spacing w:line="360" w:lineRule="auto"/>
        <w:ind w:left="720" w:hanging="720"/>
        <w:jc w:val="both"/>
        <w:rPr>
          <w:rFonts w:eastAsia="Arial Unicode MS"/>
          <w:b/>
          <w:sz w:val="30"/>
          <w:szCs w:val="30"/>
        </w:rPr>
      </w:pPr>
    </w:p>
    <w:p w:rsidR="00DA1138" w:rsidRDefault="00DA1138" w:rsidP="00ED02AC">
      <w:pPr>
        <w:spacing w:line="360" w:lineRule="auto"/>
        <w:ind w:left="720" w:hanging="720"/>
        <w:jc w:val="both"/>
        <w:rPr>
          <w:rFonts w:eastAsia="Arial Unicode MS"/>
          <w:sz w:val="30"/>
          <w:szCs w:val="30"/>
        </w:rPr>
      </w:pPr>
      <w:r w:rsidRPr="00775896">
        <w:rPr>
          <w:rFonts w:eastAsia="Arial Unicode MS"/>
          <w:b/>
          <w:sz w:val="30"/>
          <w:szCs w:val="30"/>
        </w:rPr>
        <w:t xml:space="preserve">For Appellant </w:t>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t xml:space="preserve">     :</w:t>
      </w:r>
      <w:r w:rsidRPr="00775896">
        <w:rPr>
          <w:rFonts w:eastAsia="Arial Unicode MS"/>
          <w:b/>
          <w:sz w:val="30"/>
          <w:szCs w:val="30"/>
        </w:rPr>
        <w:tab/>
        <w:t xml:space="preserve"> </w:t>
      </w:r>
      <w:proofErr w:type="spellStart"/>
      <w:r w:rsidRPr="00DE0521">
        <w:rPr>
          <w:rFonts w:eastAsia="Arial Unicode MS"/>
          <w:sz w:val="30"/>
          <w:szCs w:val="30"/>
        </w:rPr>
        <w:t>Mr</w:t>
      </w:r>
      <w:proofErr w:type="spellEnd"/>
      <w:r w:rsidRPr="00DE0521">
        <w:rPr>
          <w:rFonts w:eastAsia="Arial Unicode MS"/>
          <w:sz w:val="30"/>
          <w:szCs w:val="30"/>
        </w:rPr>
        <w:t xml:space="preserve"> </w:t>
      </w:r>
      <w:r w:rsidR="00ED02AC">
        <w:rPr>
          <w:rFonts w:eastAsia="Arial Unicode MS"/>
          <w:sz w:val="30"/>
          <w:szCs w:val="30"/>
        </w:rPr>
        <w:t xml:space="preserve">J. </w:t>
      </w:r>
      <w:proofErr w:type="spellStart"/>
      <w:r w:rsidR="00ED02AC">
        <w:rPr>
          <w:rFonts w:eastAsia="Arial Unicode MS"/>
          <w:sz w:val="30"/>
          <w:szCs w:val="30"/>
        </w:rPr>
        <w:t>Henwood</w:t>
      </w:r>
      <w:proofErr w:type="spellEnd"/>
    </w:p>
    <w:p w:rsidR="00ED02AC" w:rsidRDefault="00ED02AC" w:rsidP="00ED02AC">
      <w:pPr>
        <w:spacing w:line="360" w:lineRule="auto"/>
        <w:ind w:left="720" w:hanging="720"/>
        <w:jc w:val="both"/>
        <w:rPr>
          <w:rFonts w:eastAsia="Arial Unicode MS"/>
          <w:b/>
          <w:sz w:val="30"/>
          <w:szCs w:val="30"/>
        </w:rPr>
      </w:pPr>
    </w:p>
    <w:p w:rsidR="00DA1138" w:rsidRPr="00DE0521" w:rsidRDefault="00DA1138" w:rsidP="00DA1138">
      <w:pPr>
        <w:rPr>
          <w:rFonts w:eastAsia="Arial Unicode MS"/>
          <w:sz w:val="30"/>
          <w:szCs w:val="30"/>
        </w:rPr>
      </w:pPr>
      <w:r w:rsidRPr="00775896">
        <w:rPr>
          <w:rFonts w:eastAsia="Arial Unicode MS"/>
          <w:b/>
          <w:sz w:val="30"/>
          <w:szCs w:val="30"/>
        </w:rPr>
        <w:t>For Respondent</w:t>
      </w:r>
      <w:r>
        <w:rPr>
          <w:rFonts w:eastAsia="Arial Unicode MS"/>
          <w:b/>
          <w:sz w:val="30"/>
          <w:szCs w:val="30"/>
        </w:rPr>
        <w:tab/>
      </w:r>
      <w:r>
        <w:rPr>
          <w:rFonts w:eastAsia="Arial Unicode MS"/>
          <w:b/>
          <w:sz w:val="30"/>
          <w:szCs w:val="30"/>
        </w:rPr>
        <w:tab/>
        <w:t xml:space="preserve">   </w:t>
      </w:r>
      <w:r>
        <w:rPr>
          <w:rFonts w:eastAsia="Arial Unicode MS"/>
          <w:b/>
          <w:sz w:val="30"/>
          <w:szCs w:val="30"/>
        </w:rPr>
        <w:tab/>
        <w:t xml:space="preserve">     </w:t>
      </w:r>
      <w:r w:rsidRPr="00775896">
        <w:rPr>
          <w:rFonts w:eastAsia="Arial Unicode MS"/>
          <w:b/>
          <w:sz w:val="30"/>
          <w:szCs w:val="30"/>
        </w:rPr>
        <w:t>:</w:t>
      </w:r>
      <w:r w:rsidRPr="00775896">
        <w:rPr>
          <w:rFonts w:eastAsia="Arial Unicode MS"/>
          <w:b/>
          <w:sz w:val="30"/>
          <w:szCs w:val="30"/>
        </w:rPr>
        <w:tab/>
      </w:r>
      <w:r w:rsidR="00ED02AC">
        <w:rPr>
          <w:rFonts w:eastAsia="Arial Unicode MS"/>
          <w:b/>
          <w:sz w:val="30"/>
          <w:szCs w:val="30"/>
        </w:rPr>
        <w:t xml:space="preserve"> </w:t>
      </w:r>
      <w:proofErr w:type="spellStart"/>
      <w:r w:rsidRPr="00DE0521">
        <w:rPr>
          <w:rFonts w:eastAsia="Arial Unicode MS"/>
          <w:sz w:val="30"/>
          <w:szCs w:val="30"/>
        </w:rPr>
        <w:t>Mr</w:t>
      </w:r>
      <w:proofErr w:type="spellEnd"/>
      <w:r w:rsidRPr="00DE0521">
        <w:rPr>
          <w:rFonts w:eastAsia="Arial Unicode MS"/>
          <w:sz w:val="30"/>
          <w:szCs w:val="30"/>
        </w:rPr>
        <w:t xml:space="preserve"> </w:t>
      </w:r>
      <w:r w:rsidR="00ED02AC">
        <w:rPr>
          <w:rFonts w:eastAsia="Arial Unicode MS"/>
          <w:sz w:val="30"/>
          <w:szCs w:val="30"/>
        </w:rPr>
        <w:t>T.E</w:t>
      </w:r>
      <w:r w:rsidR="00A10F22">
        <w:rPr>
          <w:rFonts w:eastAsia="Arial Unicode MS"/>
          <w:sz w:val="30"/>
          <w:szCs w:val="30"/>
        </w:rPr>
        <w:t xml:space="preserve">. </w:t>
      </w:r>
      <w:proofErr w:type="spellStart"/>
      <w:r w:rsidR="00A10F22">
        <w:rPr>
          <w:rFonts w:eastAsia="Arial Unicode MS"/>
          <w:sz w:val="30"/>
          <w:szCs w:val="30"/>
        </w:rPr>
        <w:t>Fakudze</w:t>
      </w:r>
      <w:proofErr w:type="spellEnd"/>
      <w:r w:rsidR="00A10F22">
        <w:rPr>
          <w:rFonts w:eastAsia="Arial Unicode MS"/>
          <w:sz w:val="30"/>
          <w:szCs w:val="30"/>
        </w:rPr>
        <w:t xml:space="preserve"> </w:t>
      </w:r>
    </w:p>
    <w:p w:rsidR="00DA1138" w:rsidRPr="00775896" w:rsidRDefault="00DA1138" w:rsidP="00DA1138">
      <w:pPr>
        <w:ind w:left="3600" w:firstLine="720"/>
        <w:rPr>
          <w:sz w:val="30"/>
          <w:szCs w:val="30"/>
        </w:rPr>
      </w:pPr>
      <w:r w:rsidRPr="00775896">
        <w:rPr>
          <w:rFonts w:eastAsia="Arial Unicode MS"/>
          <w:b/>
          <w:sz w:val="30"/>
          <w:szCs w:val="30"/>
        </w:rPr>
        <w:tab/>
      </w:r>
    </w:p>
    <w:p w:rsidR="00DA1138" w:rsidRPr="00775896" w:rsidRDefault="00DA1138" w:rsidP="00DA1138">
      <w:pPr>
        <w:rPr>
          <w:sz w:val="30"/>
          <w:szCs w:val="30"/>
        </w:rPr>
      </w:pPr>
    </w:p>
    <w:p w:rsidR="00DA1138" w:rsidRPr="00775896" w:rsidRDefault="00DA1138" w:rsidP="00DA1138">
      <w:pPr>
        <w:rPr>
          <w:sz w:val="30"/>
          <w:szCs w:val="30"/>
        </w:rPr>
      </w:pPr>
    </w:p>
    <w:p w:rsidR="00DA1138" w:rsidRPr="00775896" w:rsidRDefault="00DA1138" w:rsidP="00DA1138">
      <w:pPr>
        <w:rPr>
          <w:sz w:val="32"/>
          <w:szCs w:val="32"/>
        </w:rPr>
      </w:pPr>
    </w:p>
    <w:p w:rsidR="00DA1138" w:rsidRDefault="00DA1138" w:rsidP="00DA1138"/>
    <w:p w:rsidR="00DA1138" w:rsidRDefault="00DA1138" w:rsidP="00DA1138"/>
    <w:p w:rsidR="00DA1138" w:rsidRDefault="00DA1138" w:rsidP="00DA1138"/>
    <w:p w:rsidR="00DA1138" w:rsidRDefault="00DA1138" w:rsidP="00DA1138"/>
    <w:p w:rsidR="00861CF9" w:rsidRDefault="00813320"/>
    <w:sectPr w:rsidR="00861CF9" w:rsidSect="0064625B">
      <w:footerReference w:type="even" r:id="rId9"/>
      <w:footerReference w:type="default" r:id="rId10"/>
      <w:pgSz w:w="12240" w:h="15840"/>
      <w:pgMar w:top="117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3320" w:rsidRDefault="00813320" w:rsidP="00945D22">
      <w:r>
        <w:separator/>
      </w:r>
    </w:p>
  </w:endnote>
  <w:endnote w:type="continuationSeparator" w:id="0">
    <w:p w:rsidR="00813320" w:rsidRDefault="00813320" w:rsidP="00945D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02F" w:rsidRDefault="0097293C" w:rsidP="00171910">
    <w:pPr>
      <w:pStyle w:val="Footer"/>
      <w:framePr w:wrap="around" w:vAnchor="text" w:hAnchor="margin" w:xAlign="center" w:y="1"/>
      <w:rPr>
        <w:rStyle w:val="PageNumber"/>
      </w:rPr>
    </w:pPr>
    <w:r>
      <w:rPr>
        <w:rStyle w:val="PageNumber"/>
      </w:rPr>
      <w:fldChar w:fldCharType="begin"/>
    </w:r>
    <w:r w:rsidR="00A10F22">
      <w:rPr>
        <w:rStyle w:val="PageNumber"/>
      </w:rPr>
      <w:instrText xml:space="preserve">PAGE  </w:instrText>
    </w:r>
    <w:r>
      <w:rPr>
        <w:rStyle w:val="PageNumber"/>
      </w:rPr>
      <w:fldChar w:fldCharType="end"/>
    </w:r>
  </w:p>
  <w:p w:rsidR="001C502F" w:rsidRDefault="0081332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02F" w:rsidRDefault="0097293C" w:rsidP="00171910">
    <w:pPr>
      <w:pStyle w:val="Footer"/>
      <w:framePr w:wrap="around" w:vAnchor="text" w:hAnchor="margin" w:xAlign="center" w:y="1"/>
      <w:rPr>
        <w:rStyle w:val="PageNumber"/>
      </w:rPr>
    </w:pPr>
    <w:r>
      <w:rPr>
        <w:rStyle w:val="PageNumber"/>
      </w:rPr>
      <w:fldChar w:fldCharType="begin"/>
    </w:r>
    <w:r w:rsidR="00A10F22">
      <w:rPr>
        <w:rStyle w:val="PageNumber"/>
      </w:rPr>
      <w:instrText xml:space="preserve">PAGE  </w:instrText>
    </w:r>
    <w:r>
      <w:rPr>
        <w:rStyle w:val="PageNumber"/>
      </w:rPr>
      <w:fldChar w:fldCharType="separate"/>
    </w:r>
    <w:r w:rsidR="00E1341B">
      <w:rPr>
        <w:rStyle w:val="PageNumber"/>
        <w:noProof/>
      </w:rPr>
      <w:t>6</w:t>
    </w:r>
    <w:r>
      <w:rPr>
        <w:rStyle w:val="PageNumber"/>
      </w:rPr>
      <w:fldChar w:fldCharType="end"/>
    </w:r>
  </w:p>
  <w:p w:rsidR="001C502F" w:rsidRDefault="008133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3320" w:rsidRDefault="00813320" w:rsidP="00945D22">
      <w:r>
        <w:separator/>
      </w:r>
    </w:p>
  </w:footnote>
  <w:footnote w:type="continuationSeparator" w:id="0">
    <w:p w:rsidR="00813320" w:rsidRDefault="00813320" w:rsidP="00945D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32E64"/>
    <w:multiLevelType w:val="hybridMultilevel"/>
    <w:tmpl w:val="97E474FA"/>
    <w:lvl w:ilvl="0" w:tplc="0DBEA4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485693E"/>
    <w:multiLevelType w:val="hybridMultilevel"/>
    <w:tmpl w:val="F968CF58"/>
    <w:lvl w:ilvl="0" w:tplc="D818D3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D88249F"/>
    <w:multiLevelType w:val="hybridMultilevel"/>
    <w:tmpl w:val="F6F60706"/>
    <w:lvl w:ilvl="0" w:tplc="066223F0">
      <w:start w:val="1"/>
      <w:numFmt w:val="decimal"/>
      <w:lvlText w:val="(%1)"/>
      <w:lvlJc w:val="left"/>
      <w:pPr>
        <w:ind w:left="2235" w:hanging="435"/>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6DEA7BFD"/>
    <w:multiLevelType w:val="hybridMultilevel"/>
    <w:tmpl w:val="EC66B364"/>
    <w:lvl w:ilvl="0" w:tplc="AF0E47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A1138"/>
    <w:rsid w:val="00087DB3"/>
    <w:rsid w:val="000B4632"/>
    <w:rsid w:val="000C2C79"/>
    <w:rsid w:val="00100BD0"/>
    <w:rsid w:val="00173980"/>
    <w:rsid w:val="001F0AF8"/>
    <w:rsid w:val="002035A1"/>
    <w:rsid w:val="002437FF"/>
    <w:rsid w:val="00251CC9"/>
    <w:rsid w:val="0026695A"/>
    <w:rsid w:val="0027474A"/>
    <w:rsid w:val="00302162"/>
    <w:rsid w:val="00311FCD"/>
    <w:rsid w:val="0034455B"/>
    <w:rsid w:val="00347E0F"/>
    <w:rsid w:val="00373F85"/>
    <w:rsid w:val="00455EFC"/>
    <w:rsid w:val="00507A16"/>
    <w:rsid w:val="00521BBA"/>
    <w:rsid w:val="00527BB3"/>
    <w:rsid w:val="005674E6"/>
    <w:rsid w:val="00630B06"/>
    <w:rsid w:val="00633DAC"/>
    <w:rsid w:val="006C0633"/>
    <w:rsid w:val="00784C36"/>
    <w:rsid w:val="0078769B"/>
    <w:rsid w:val="00787D44"/>
    <w:rsid w:val="00810C97"/>
    <w:rsid w:val="00810CB0"/>
    <w:rsid w:val="00813320"/>
    <w:rsid w:val="0082146E"/>
    <w:rsid w:val="00945D22"/>
    <w:rsid w:val="0097293C"/>
    <w:rsid w:val="00A10F22"/>
    <w:rsid w:val="00A54747"/>
    <w:rsid w:val="00A84DD2"/>
    <w:rsid w:val="00AB3D7D"/>
    <w:rsid w:val="00AC4CCA"/>
    <w:rsid w:val="00B04468"/>
    <w:rsid w:val="00B05857"/>
    <w:rsid w:val="00B12D69"/>
    <w:rsid w:val="00B24D34"/>
    <w:rsid w:val="00B330D6"/>
    <w:rsid w:val="00B546B3"/>
    <w:rsid w:val="00CE2692"/>
    <w:rsid w:val="00D0463E"/>
    <w:rsid w:val="00D3640E"/>
    <w:rsid w:val="00D45670"/>
    <w:rsid w:val="00D53789"/>
    <w:rsid w:val="00D5653E"/>
    <w:rsid w:val="00DA1138"/>
    <w:rsid w:val="00DD1E6F"/>
    <w:rsid w:val="00DE2C2B"/>
    <w:rsid w:val="00DE3EC1"/>
    <w:rsid w:val="00E11ECD"/>
    <w:rsid w:val="00E1341B"/>
    <w:rsid w:val="00E31CB0"/>
    <w:rsid w:val="00E948FA"/>
    <w:rsid w:val="00EA0A5A"/>
    <w:rsid w:val="00ED02AC"/>
    <w:rsid w:val="00F41919"/>
    <w:rsid w:val="00F45F1B"/>
    <w:rsid w:val="00FB45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13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1138"/>
    <w:pPr>
      <w:tabs>
        <w:tab w:val="center" w:pos="4320"/>
        <w:tab w:val="right" w:pos="8640"/>
      </w:tabs>
    </w:pPr>
  </w:style>
  <w:style w:type="character" w:customStyle="1" w:styleId="FooterChar">
    <w:name w:val="Footer Char"/>
    <w:basedOn w:val="DefaultParagraphFont"/>
    <w:link w:val="Footer"/>
    <w:rsid w:val="00DA1138"/>
    <w:rPr>
      <w:rFonts w:ascii="Times New Roman" w:eastAsia="Times New Roman" w:hAnsi="Times New Roman" w:cs="Times New Roman"/>
      <w:sz w:val="24"/>
      <w:szCs w:val="24"/>
    </w:rPr>
  </w:style>
  <w:style w:type="character" w:styleId="PageNumber">
    <w:name w:val="page number"/>
    <w:basedOn w:val="DefaultParagraphFont"/>
    <w:rsid w:val="00DA1138"/>
  </w:style>
  <w:style w:type="paragraph" w:styleId="ListParagraph">
    <w:name w:val="List Paragraph"/>
    <w:basedOn w:val="Normal"/>
    <w:uiPriority w:val="34"/>
    <w:qFormat/>
    <w:rsid w:val="00DA1138"/>
    <w:pPr>
      <w:ind w:left="720"/>
      <w:contextualSpacing/>
    </w:pPr>
  </w:style>
  <w:style w:type="table" w:styleId="TableGrid">
    <w:name w:val="Table Grid"/>
    <w:basedOn w:val="TableNormal"/>
    <w:uiPriority w:val="59"/>
    <w:rsid w:val="00DA11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A1138"/>
    <w:rPr>
      <w:rFonts w:ascii="Tahoma" w:hAnsi="Tahoma" w:cs="Tahoma"/>
      <w:sz w:val="16"/>
      <w:szCs w:val="16"/>
    </w:rPr>
  </w:style>
  <w:style w:type="character" w:customStyle="1" w:styleId="BalloonTextChar">
    <w:name w:val="Balloon Text Char"/>
    <w:basedOn w:val="DefaultParagraphFont"/>
    <w:link w:val="BalloonText"/>
    <w:uiPriority w:val="99"/>
    <w:semiHidden/>
    <w:rsid w:val="00DA113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AFE329-232B-4B6A-84F9-C4F1E8093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10</Pages>
  <Words>1282</Words>
  <Characters>7314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s1003052</dc:creator>
  <cp:lastModifiedBy>s1003052</cp:lastModifiedBy>
  <cp:revision>37</cp:revision>
  <cp:lastPrinted>2014-12-02T12:59:00Z</cp:lastPrinted>
  <dcterms:created xsi:type="dcterms:W3CDTF">2014-11-22T17:33:00Z</dcterms:created>
  <dcterms:modified xsi:type="dcterms:W3CDTF">2014-12-02T13:00:00Z</dcterms:modified>
</cp:coreProperties>
</file>